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384F" w14:textId="051593DF" w:rsidR="00962FAC" w:rsidRPr="006D174E" w:rsidRDefault="00962FAC" w:rsidP="00507EFC">
      <w:pPr>
        <w:spacing w:line="240" w:lineRule="auto"/>
        <w:ind w:left="360" w:hanging="360"/>
        <w:jc w:val="both"/>
        <w:rPr>
          <w:b/>
          <w:bCs/>
          <w:sz w:val="48"/>
          <w:szCs w:val="48"/>
          <w:lang w:val="en-IE"/>
        </w:rPr>
      </w:pPr>
    </w:p>
    <w:p w14:paraId="30FBECFF" w14:textId="6292A31E" w:rsidR="00E37594" w:rsidRPr="006D174E" w:rsidRDefault="00487F52" w:rsidP="00487F52">
      <w:pPr>
        <w:tabs>
          <w:tab w:val="left" w:pos="7656"/>
        </w:tabs>
        <w:spacing w:line="240" w:lineRule="auto"/>
        <w:ind w:left="360" w:hanging="360"/>
        <w:rPr>
          <w:b/>
          <w:bCs/>
          <w:sz w:val="48"/>
          <w:szCs w:val="48"/>
          <w:lang w:val="en-IE"/>
        </w:rPr>
      </w:pPr>
      <w:r>
        <w:rPr>
          <w:b/>
          <w:bCs/>
          <w:sz w:val="48"/>
          <w:szCs w:val="48"/>
          <w:lang w:val="en-IE"/>
        </w:rPr>
        <w:tab/>
      </w:r>
      <w:r>
        <w:rPr>
          <w:b/>
          <w:bCs/>
          <w:sz w:val="48"/>
          <w:szCs w:val="48"/>
          <w:lang w:val="en-IE"/>
        </w:rPr>
        <w:tab/>
      </w:r>
    </w:p>
    <w:p w14:paraId="6AA28C34" w14:textId="2E889C2D" w:rsidR="00962FAC" w:rsidRPr="006D174E" w:rsidRDefault="00487F52" w:rsidP="00294842">
      <w:pPr>
        <w:spacing w:line="240" w:lineRule="auto"/>
        <w:ind w:left="360" w:hanging="360"/>
        <w:jc w:val="center"/>
        <w:rPr>
          <w:b/>
          <w:bCs/>
          <w:sz w:val="48"/>
          <w:szCs w:val="48"/>
          <w:lang w:val="en-IE"/>
        </w:rPr>
      </w:pPr>
      <w:r>
        <w:rPr>
          <w:b/>
          <w:bCs/>
          <w:noProof/>
          <w:sz w:val="48"/>
          <w:szCs w:val="48"/>
          <w:lang w:val="en-IE"/>
        </w:rPr>
        <w:drawing>
          <wp:anchor distT="0" distB="0" distL="114300" distR="114300" simplePos="0" relativeHeight="251658240" behindDoc="1" locked="0" layoutInCell="1" allowOverlap="1" wp14:anchorId="7F47635D" wp14:editId="30C87690">
            <wp:simplePos x="0" y="0"/>
            <wp:positionH relativeFrom="margin">
              <wp:align>left</wp:align>
            </wp:positionH>
            <wp:positionV relativeFrom="paragraph">
              <wp:posOffset>459740</wp:posOffset>
            </wp:positionV>
            <wp:extent cx="3063240" cy="909320"/>
            <wp:effectExtent l="0" t="0" r="3810" b="5080"/>
            <wp:wrapTopAndBottom/>
            <wp:docPr id="1381497117" name="Picture 3"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97117" name="Picture 3" descr="A blue and yellow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3240" cy="909320"/>
                    </a:xfrm>
                    <a:prstGeom prst="rect">
                      <a:avLst/>
                    </a:prstGeom>
                  </pic:spPr>
                </pic:pic>
              </a:graphicData>
            </a:graphic>
            <wp14:sizeRelH relativeFrom="margin">
              <wp14:pctWidth>0</wp14:pctWidth>
            </wp14:sizeRelH>
            <wp14:sizeRelV relativeFrom="margin">
              <wp14:pctHeight>0</wp14:pctHeight>
            </wp14:sizeRelV>
          </wp:anchor>
        </w:drawing>
      </w:r>
      <w:r>
        <w:rPr>
          <w:b/>
          <w:bCs/>
          <w:noProof/>
          <w:sz w:val="48"/>
          <w:szCs w:val="48"/>
          <w:lang w:val="en-IE"/>
        </w:rPr>
        <w:drawing>
          <wp:anchor distT="0" distB="0" distL="114300" distR="114300" simplePos="0" relativeHeight="251660288" behindDoc="1" locked="0" layoutInCell="1" allowOverlap="1" wp14:anchorId="32B99C6C" wp14:editId="3F4C6D99">
            <wp:simplePos x="0" y="0"/>
            <wp:positionH relativeFrom="column">
              <wp:posOffset>3771900</wp:posOffset>
            </wp:positionH>
            <wp:positionV relativeFrom="paragraph">
              <wp:posOffset>10160</wp:posOffset>
            </wp:positionV>
            <wp:extent cx="1828800" cy="1828800"/>
            <wp:effectExtent l="0" t="0" r="0" b="0"/>
            <wp:wrapTight wrapText="bothSides">
              <wp:wrapPolygon edited="0">
                <wp:start x="0" y="0"/>
                <wp:lineTo x="0" y="21375"/>
                <wp:lineTo x="21375" y="21375"/>
                <wp:lineTo x="21375" y="0"/>
                <wp:lineTo x="0" y="0"/>
              </wp:wrapPolygon>
            </wp:wrapTight>
            <wp:docPr id="18442209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margin">
              <wp14:pctWidth>0</wp14:pctWidth>
            </wp14:sizeRelH>
            <wp14:sizeRelV relativeFrom="margin">
              <wp14:pctHeight>0</wp14:pctHeight>
            </wp14:sizeRelV>
          </wp:anchor>
        </w:drawing>
      </w:r>
    </w:p>
    <w:p w14:paraId="04E6E782" w14:textId="77777777" w:rsidR="009C2B23" w:rsidRDefault="009C2B23" w:rsidP="00294842">
      <w:pPr>
        <w:spacing w:line="240" w:lineRule="auto"/>
        <w:ind w:left="360" w:hanging="360"/>
        <w:jc w:val="center"/>
        <w:rPr>
          <w:b/>
          <w:bCs/>
          <w:sz w:val="72"/>
          <w:szCs w:val="72"/>
          <w:lang w:val="en-IE"/>
        </w:rPr>
      </w:pPr>
    </w:p>
    <w:p w14:paraId="6E91A171" w14:textId="77777777" w:rsidR="00487F52" w:rsidRDefault="00487F52" w:rsidP="00294842">
      <w:pPr>
        <w:spacing w:line="240" w:lineRule="auto"/>
        <w:jc w:val="center"/>
        <w:rPr>
          <w:b/>
          <w:bCs/>
          <w:sz w:val="72"/>
          <w:szCs w:val="72"/>
          <w:lang w:val="en-IE"/>
        </w:rPr>
      </w:pPr>
    </w:p>
    <w:p w14:paraId="7608E509" w14:textId="21D79B1F" w:rsidR="00504BDF" w:rsidRPr="00487F52" w:rsidRDefault="00474D7A" w:rsidP="00487F52">
      <w:pPr>
        <w:pStyle w:val="Title"/>
        <w:spacing w:before="94" w:line="357" w:lineRule="auto"/>
        <w:ind w:firstLine="326"/>
        <w:jc w:val="center"/>
        <w:rPr>
          <w:rFonts w:ascii="Lato" w:hAnsi="Lato"/>
          <w:color w:val="44546A" w:themeColor="text2"/>
          <w:w w:val="90"/>
        </w:rPr>
      </w:pPr>
      <w:r w:rsidRPr="00487F52">
        <w:rPr>
          <w:rFonts w:ascii="Lato" w:hAnsi="Lato"/>
          <w:color w:val="44546A" w:themeColor="text2"/>
          <w:w w:val="90"/>
        </w:rPr>
        <w:t>C</w:t>
      </w:r>
      <w:r w:rsidR="00504BDF" w:rsidRPr="00487F52">
        <w:rPr>
          <w:rFonts w:ascii="Lato" w:hAnsi="Lato"/>
          <w:color w:val="44546A" w:themeColor="text2"/>
          <w:w w:val="90"/>
        </w:rPr>
        <w:t>RU Consultation</w:t>
      </w:r>
      <w:r w:rsidRPr="00487F52">
        <w:rPr>
          <w:rFonts w:ascii="Lato" w:hAnsi="Lato"/>
          <w:color w:val="44546A" w:themeColor="text2"/>
          <w:w w:val="90"/>
        </w:rPr>
        <w:t xml:space="preserve"> o</w:t>
      </w:r>
      <w:r w:rsidR="00504BDF" w:rsidRPr="00487F52">
        <w:rPr>
          <w:rFonts w:ascii="Lato" w:hAnsi="Lato"/>
          <w:color w:val="44546A" w:themeColor="text2"/>
          <w:w w:val="90"/>
        </w:rPr>
        <w:t>n</w:t>
      </w:r>
      <w:r w:rsidRPr="00487F52">
        <w:rPr>
          <w:rFonts w:ascii="Lato" w:hAnsi="Lato"/>
          <w:color w:val="44546A" w:themeColor="text2"/>
          <w:w w:val="90"/>
        </w:rPr>
        <w:t xml:space="preserve"> Gas Networks Ireland Ten</w:t>
      </w:r>
      <w:r w:rsidR="00504BDF" w:rsidRPr="00487F52">
        <w:rPr>
          <w:rFonts w:ascii="Lato" w:hAnsi="Lato"/>
          <w:color w:val="44546A" w:themeColor="text2"/>
          <w:w w:val="90"/>
        </w:rPr>
        <w:t xml:space="preserve"> </w:t>
      </w:r>
      <w:r w:rsidRPr="00487F52">
        <w:rPr>
          <w:rFonts w:ascii="Lato" w:hAnsi="Lato"/>
          <w:color w:val="44546A" w:themeColor="text2"/>
          <w:w w:val="90"/>
        </w:rPr>
        <w:t>Year Network Development</w:t>
      </w:r>
    </w:p>
    <w:p w14:paraId="4AA323D0" w14:textId="4B94E552" w:rsidR="00883A29" w:rsidRPr="00487F52" w:rsidRDefault="00474D7A" w:rsidP="006C2143">
      <w:pPr>
        <w:pStyle w:val="Title"/>
        <w:spacing w:before="94" w:line="357" w:lineRule="auto"/>
        <w:ind w:left="3994"/>
        <w:rPr>
          <w:rFonts w:ascii="Lato" w:hAnsi="Lato"/>
          <w:color w:val="44546A" w:themeColor="text2"/>
        </w:rPr>
      </w:pPr>
      <w:r w:rsidRPr="00487F52">
        <w:rPr>
          <w:rFonts w:ascii="Lato" w:hAnsi="Lato"/>
          <w:color w:val="44546A" w:themeColor="text2"/>
          <w:w w:val="90"/>
        </w:rPr>
        <w:t>Plan 2024</w:t>
      </w:r>
    </w:p>
    <w:p w14:paraId="6FA1B069" w14:textId="77777777" w:rsidR="00883A29" w:rsidRPr="006840B6" w:rsidRDefault="00883A29" w:rsidP="00487F52">
      <w:pPr>
        <w:ind w:left="360" w:hanging="360"/>
        <w:jc w:val="center"/>
        <w:rPr>
          <w:b/>
          <w:bCs/>
          <w:color w:val="44546A" w:themeColor="text2"/>
          <w:sz w:val="36"/>
          <w:szCs w:val="36"/>
          <w:lang w:val="en-IE"/>
        </w:rPr>
      </w:pPr>
    </w:p>
    <w:p w14:paraId="28F9A1C9" w14:textId="11EB1EC6" w:rsidR="00883A29" w:rsidRPr="00487F52" w:rsidRDefault="00504BDF" w:rsidP="00487F52">
      <w:pPr>
        <w:ind w:left="360" w:hanging="360"/>
        <w:jc w:val="center"/>
        <w:rPr>
          <w:b/>
          <w:bCs/>
          <w:color w:val="44546A" w:themeColor="text2"/>
          <w:sz w:val="36"/>
          <w:szCs w:val="36"/>
          <w:lang w:val="en-IE"/>
        </w:rPr>
      </w:pPr>
      <w:r w:rsidRPr="00487F52">
        <w:rPr>
          <w:b/>
          <w:bCs/>
          <w:color w:val="44546A" w:themeColor="text2"/>
          <w:sz w:val="36"/>
          <w:szCs w:val="36"/>
          <w:lang w:val="en-IE"/>
        </w:rPr>
        <w:t xml:space="preserve">Submission by </w:t>
      </w:r>
      <w:r w:rsidR="00883A29" w:rsidRPr="00487F52">
        <w:rPr>
          <w:b/>
          <w:bCs/>
          <w:color w:val="44546A" w:themeColor="text2"/>
          <w:sz w:val="36"/>
          <w:szCs w:val="36"/>
          <w:lang w:val="en-IE"/>
        </w:rPr>
        <w:t>Chambers Ireland</w:t>
      </w:r>
    </w:p>
    <w:p w14:paraId="0BC05664" w14:textId="77777777" w:rsidR="00883A29" w:rsidRPr="006840B6" w:rsidRDefault="00883A29" w:rsidP="00487F52">
      <w:pPr>
        <w:ind w:left="360" w:hanging="360"/>
        <w:jc w:val="center"/>
        <w:rPr>
          <w:b/>
          <w:bCs/>
          <w:color w:val="44546A" w:themeColor="text2"/>
          <w:sz w:val="36"/>
          <w:szCs w:val="36"/>
          <w:lang w:val="en-IE"/>
        </w:rPr>
      </w:pPr>
    </w:p>
    <w:p w14:paraId="7692C887" w14:textId="7B24CD99" w:rsidR="00883A29" w:rsidRPr="006840B6" w:rsidRDefault="00474D7A" w:rsidP="00487F52">
      <w:pPr>
        <w:ind w:left="360" w:hanging="360"/>
        <w:jc w:val="center"/>
        <w:rPr>
          <w:b/>
          <w:bCs/>
          <w:color w:val="44546A" w:themeColor="text2"/>
          <w:sz w:val="36"/>
          <w:szCs w:val="36"/>
          <w:lang w:val="en-IE"/>
        </w:rPr>
      </w:pPr>
      <w:r w:rsidRPr="006840B6">
        <w:rPr>
          <w:b/>
          <w:bCs/>
          <w:color w:val="44546A" w:themeColor="text2"/>
          <w:sz w:val="36"/>
          <w:szCs w:val="36"/>
          <w:lang w:val="en-IE"/>
        </w:rPr>
        <w:t>April</w:t>
      </w:r>
      <w:r w:rsidR="007D3369" w:rsidRPr="006840B6">
        <w:rPr>
          <w:b/>
          <w:bCs/>
          <w:color w:val="44546A" w:themeColor="text2"/>
          <w:sz w:val="36"/>
          <w:szCs w:val="36"/>
          <w:lang w:val="en-IE"/>
        </w:rPr>
        <w:t xml:space="preserve"> 2025</w:t>
      </w:r>
      <w:r w:rsidR="00883A29" w:rsidRPr="006840B6">
        <w:rPr>
          <w:color w:val="44546A" w:themeColor="text2"/>
          <w:lang w:val="en-IE"/>
        </w:rPr>
        <w:br w:type="page"/>
      </w:r>
    </w:p>
    <w:bookmarkStart w:id="0" w:name="_Toc149214819" w:displacedByCustomXml="next"/>
    <w:bookmarkStart w:id="1" w:name="_Toc125118118" w:displacedByCustomXml="next"/>
    <w:bookmarkStart w:id="2" w:name="_Toc124772892" w:displacedByCustomXml="next"/>
    <w:bookmarkStart w:id="3" w:name="_Toc121238757" w:displacedByCustomXml="next"/>
    <w:sdt>
      <w:sdtPr>
        <w:rPr>
          <w:rFonts w:eastAsia="Times New Roman" w:cs="Times New Roman"/>
          <w:b w:val="0"/>
          <w:sz w:val="24"/>
          <w:szCs w:val="24"/>
          <w:u w:val="none"/>
          <w:lang w:eastAsia="en-GB"/>
        </w:rPr>
        <w:id w:val="1146080665"/>
        <w:docPartObj>
          <w:docPartGallery w:val="Table of Contents"/>
          <w:docPartUnique/>
        </w:docPartObj>
      </w:sdtPr>
      <w:sdtEndPr>
        <w:rPr>
          <w:bCs/>
          <w:noProof/>
        </w:rPr>
      </w:sdtEndPr>
      <w:sdtContent>
        <w:p w14:paraId="74D26F06" w14:textId="34DD202A" w:rsidR="00901C85" w:rsidRDefault="00901C85" w:rsidP="00504BDF">
          <w:pPr>
            <w:pStyle w:val="TOCHeading"/>
            <w:numPr>
              <w:ilvl w:val="0"/>
              <w:numId w:val="0"/>
            </w:numPr>
          </w:pPr>
          <w:r>
            <w:t>Contents</w:t>
          </w:r>
        </w:p>
        <w:p w14:paraId="3174678B" w14:textId="3A70B421" w:rsidR="00487F52" w:rsidRDefault="00901C85">
          <w:pPr>
            <w:pStyle w:val="TOC1"/>
            <w:rPr>
              <w:rFonts w:asciiTheme="minorHAnsi" w:eastAsiaTheme="minorEastAsia" w:hAnsiTheme="minorHAnsi" w:cstheme="minorBidi"/>
              <w:noProof/>
              <w:color w:val="auto"/>
              <w:kern w:val="2"/>
              <w:lang w:val="en-IE" w:eastAsia="en-IE"/>
              <w14:ligatures w14:val="standardContextual"/>
            </w:rPr>
          </w:pPr>
          <w:r>
            <w:fldChar w:fldCharType="begin"/>
          </w:r>
          <w:r>
            <w:instrText xml:space="preserve"> TOC \o "1-3" \h \z \u </w:instrText>
          </w:r>
          <w:r>
            <w:fldChar w:fldCharType="separate"/>
          </w:r>
          <w:hyperlink w:anchor="_Toc195616902" w:history="1">
            <w:r w:rsidR="00487F52" w:rsidRPr="00FF5B8F">
              <w:rPr>
                <w:rStyle w:val="Hyperlink"/>
                <w:noProof/>
              </w:rPr>
              <w:t>Our Perspective</w:t>
            </w:r>
            <w:r w:rsidR="00487F52">
              <w:rPr>
                <w:noProof/>
                <w:webHidden/>
              </w:rPr>
              <w:tab/>
            </w:r>
            <w:r w:rsidR="00487F52">
              <w:rPr>
                <w:noProof/>
                <w:webHidden/>
              </w:rPr>
              <w:fldChar w:fldCharType="begin"/>
            </w:r>
            <w:r w:rsidR="00487F52">
              <w:rPr>
                <w:noProof/>
                <w:webHidden/>
              </w:rPr>
              <w:instrText xml:space="preserve"> PAGEREF _Toc195616902 \h </w:instrText>
            </w:r>
            <w:r w:rsidR="00487F52">
              <w:rPr>
                <w:noProof/>
                <w:webHidden/>
              </w:rPr>
            </w:r>
            <w:r w:rsidR="00487F52">
              <w:rPr>
                <w:noProof/>
                <w:webHidden/>
              </w:rPr>
              <w:fldChar w:fldCharType="separate"/>
            </w:r>
            <w:r w:rsidR="00487F52">
              <w:rPr>
                <w:noProof/>
                <w:webHidden/>
              </w:rPr>
              <w:t>4</w:t>
            </w:r>
            <w:r w:rsidR="00487F52">
              <w:rPr>
                <w:noProof/>
                <w:webHidden/>
              </w:rPr>
              <w:fldChar w:fldCharType="end"/>
            </w:r>
          </w:hyperlink>
        </w:p>
        <w:p w14:paraId="59B5081A" w14:textId="12466FD3" w:rsidR="00487F52" w:rsidRDefault="00487F52">
          <w:pPr>
            <w:pStyle w:val="TOC2"/>
            <w:rPr>
              <w:rFonts w:asciiTheme="minorHAnsi" w:eastAsiaTheme="minorEastAsia" w:hAnsiTheme="minorHAnsi" w:cstheme="minorBidi"/>
              <w:color w:val="auto"/>
              <w:kern w:val="2"/>
              <w:lang w:val="en-IE" w:eastAsia="en-IE"/>
              <w14:ligatures w14:val="standardContextual"/>
            </w:rPr>
          </w:pPr>
          <w:hyperlink w:anchor="_Toc195616903" w:history="1">
            <w:r w:rsidRPr="00FF5B8F">
              <w:rPr>
                <w:rStyle w:val="Hyperlink"/>
              </w:rPr>
              <w:t>Climate Action Targets</w:t>
            </w:r>
            <w:r>
              <w:rPr>
                <w:webHidden/>
              </w:rPr>
              <w:tab/>
            </w:r>
            <w:r>
              <w:rPr>
                <w:webHidden/>
              </w:rPr>
              <w:fldChar w:fldCharType="begin"/>
            </w:r>
            <w:r>
              <w:rPr>
                <w:webHidden/>
              </w:rPr>
              <w:instrText xml:space="preserve"> PAGEREF _Toc195616903 \h </w:instrText>
            </w:r>
            <w:r>
              <w:rPr>
                <w:webHidden/>
              </w:rPr>
            </w:r>
            <w:r>
              <w:rPr>
                <w:webHidden/>
              </w:rPr>
              <w:fldChar w:fldCharType="separate"/>
            </w:r>
            <w:r>
              <w:rPr>
                <w:webHidden/>
              </w:rPr>
              <w:t>4</w:t>
            </w:r>
            <w:r>
              <w:rPr>
                <w:webHidden/>
              </w:rPr>
              <w:fldChar w:fldCharType="end"/>
            </w:r>
          </w:hyperlink>
        </w:p>
        <w:p w14:paraId="1104A7AA" w14:textId="563B8521" w:rsidR="00487F52" w:rsidRDefault="00487F52">
          <w:pPr>
            <w:pStyle w:val="TOC2"/>
            <w:rPr>
              <w:rFonts w:asciiTheme="minorHAnsi" w:eastAsiaTheme="minorEastAsia" w:hAnsiTheme="minorHAnsi" w:cstheme="minorBidi"/>
              <w:color w:val="auto"/>
              <w:kern w:val="2"/>
              <w:lang w:val="en-IE" w:eastAsia="en-IE"/>
              <w14:ligatures w14:val="standardContextual"/>
            </w:rPr>
          </w:pPr>
          <w:hyperlink w:anchor="_Toc195616904" w:history="1">
            <w:r w:rsidRPr="00FF5B8F">
              <w:rPr>
                <w:rStyle w:val="Hyperlink"/>
              </w:rPr>
              <w:t>Diversifying our energy mix</w:t>
            </w:r>
            <w:r>
              <w:rPr>
                <w:webHidden/>
              </w:rPr>
              <w:tab/>
            </w:r>
            <w:r>
              <w:rPr>
                <w:webHidden/>
              </w:rPr>
              <w:fldChar w:fldCharType="begin"/>
            </w:r>
            <w:r>
              <w:rPr>
                <w:webHidden/>
              </w:rPr>
              <w:instrText xml:space="preserve"> PAGEREF _Toc195616904 \h </w:instrText>
            </w:r>
            <w:r>
              <w:rPr>
                <w:webHidden/>
              </w:rPr>
            </w:r>
            <w:r>
              <w:rPr>
                <w:webHidden/>
              </w:rPr>
              <w:fldChar w:fldCharType="separate"/>
            </w:r>
            <w:r>
              <w:rPr>
                <w:webHidden/>
              </w:rPr>
              <w:t>5</w:t>
            </w:r>
            <w:r>
              <w:rPr>
                <w:webHidden/>
              </w:rPr>
              <w:fldChar w:fldCharType="end"/>
            </w:r>
          </w:hyperlink>
        </w:p>
        <w:p w14:paraId="7AA0CC8B" w14:textId="3F295C02" w:rsidR="00487F52" w:rsidRDefault="00487F52">
          <w:pPr>
            <w:pStyle w:val="TOC2"/>
            <w:rPr>
              <w:rFonts w:asciiTheme="minorHAnsi" w:eastAsiaTheme="minorEastAsia" w:hAnsiTheme="minorHAnsi" w:cstheme="minorBidi"/>
              <w:color w:val="auto"/>
              <w:kern w:val="2"/>
              <w:lang w:val="en-IE" w:eastAsia="en-IE"/>
              <w14:ligatures w14:val="standardContextual"/>
            </w:rPr>
          </w:pPr>
          <w:hyperlink w:anchor="_Toc195616905" w:history="1">
            <w:r w:rsidRPr="00FF5B8F">
              <w:rPr>
                <w:rStyle w:val="Hyperlink"/>
              </w:rPr>
              <w:t>Essential Investment</w:t>
            </w:r>
            <w:r>
              <w:rPr>
                <w:webHidden/>
              </w:rPr>
              <w:tab/>
            </w:r>
            <w:r>
              <w:rPr>
                <w:webHidden/>
              </w:rPr>
              <w:fldChar w:fldCharType="begin"/>
            </w:r>
            <w:r>
              <w:rPr>
                <w:webHidden/>
              </w:rPr>
              <w:instrText xml:space="preserve"> PAGEREF _Toc195616905 \h </w:instrText>
            </w:r>
            <w:r>
              <w:rPr>
                <w:webHidden/>
              </w:rPr>
            </w:r>
            <w:r>
              <w:rPr>
                <w:webHidden/>
              </w:rPr>
              <w:fldChar w:fldCharType="separate"/>
            </w:r>
            <w:r>
              <w:rPr>
                <w:webHidden/>
              </w:rPr>
              <w:t>7</w:t>
            </w:r>
            <w:r>
              <w:rPr>
                <w:webHidden/>
              </w:rPr>
              <w:fldChar w:fldCharType="end"/>
            </w:r>
          </w:hyperlink>
        </w:p>
        <w:p w14:paraId="05D3DBA6" w14:textId="63624C06" w:rsidR="00487F52" w:rsidRDefault="00487F52">
          <w:pPr>
            <w:pStyle w:val="TOC2"/>
            <w:rPr>
              <w:rFonts w:asciiTheme="minorHAnsi" w:eastAsiaTheme="minorEastAsia" w:hAnsiTheme="minorHAnsi" w:cstheme="minorBidi"/>
              <w:color w:val="auto"/>
              <w:kern w:val="2"/>
              <w:lang w:val="en-IE" w:eastAsia="en-IE"/>
              <w14:ligatures w14:val="standardContextual"/>
            </w:rPr>
          </w:pPr>
          <w:hyperlink w:anchor="_Toc195616906" w:history="1">
            <w:r w:rsidRPr="00FF5B8F">
              <w:rPr>
                <w:rStyle w:val="Hyperlink"/>
              </w:rPr>
              <w:t>Planning</w:t>
            </w:r>
            <w:r>
              <w:rPr>
                <w:webHidden/>
              </w:rPr>
              <w:tab/>
            </w:r>
            <w:r>
              <w:rPr>
                <w:webHidden/>
              </w:rPr>
              <w:fldChar w:fldCharType="begin"/>
            </w:r>
            <w:r>
              <w:rPr>
                <w:webHidden/>
              </w:rPr>
              <w:instrText xml:space="preserve"> PAGEREF _Toc195616906 \h </w:instrText>
            </w:r>
            <w:r>
              <w:rPr>
                <w:webHidden/>
              </w:rPr>
            </w:r>
            <w:r>
              <w:rPr>
                <w:webHidden/>
              </w:rPr>
              <w:fldChar w:fldCharType="separate"/>
            </w:r>
            <w:r>
              <w:rPr>
                <w:webHidden/>
              </w:rPr>
              <w:t>8</w:t>
            </w:r>
            <w:r>
              <w:rPr>
                <w:webHidden/>
              </w:rPr>
              <w:fldChar w:fldCharType="end"/>
            </w:r>
          </w:hyperlink>
        </w:p>
        <w:p w14:paraId="2B9E1931" w14:textId="78B5D053" w:rsidR="00487F52" w:rsidRDefault="00487F52">
          <w:pPr>
            <w:pStyle w:val="TOC1"/>
            <w:rPr>
              <w:rFonts w:asciiTheme="minorHAnsi" w:eastAsiaTheme="minorEastAsia" w:hAnsiTheme="minorHAnsi" w:cstheme="minorBidi"/>
              <w:noProof/>
              <w:color w:val="auto"/>
              <w:kern w:val="2"/>
              <w:lang w:val="en-IE" w:eastAsia="en-IE"/>
              <w14:ligatures w14:val="standardContextual"/>
            </w:rPr>
          </w:pPr>
          <w:hyperlink w:anchor="_Toc195616907" w:history="1">
            <w:r w:rsidRPr="00FF5B8F">
              <w:rPr>
                <w:rStyle w:val="Hyperlink"/>
                <w:noProof/>
              </w:rPr>
              <w:t>Questions</w:t>
            </w:r>
            <w:r>
              <w:rPr>
                <w:noProof/>
                <w:webHidden/>
              </w:rPr>
              <w:tab/>
            </w:r>
            <w:r>
              <w:rPr>
                <w:noProof/>
                <w:webHidden/>
              </w:rPr>
              <w:fldChar w:fldCharType="begin"/>
            </w:r>
            <w:r>
              <w:rPr>
                <w:noProof/>
                <w:webHidden/>
              </w:rPr>
              <w:instrText xml:space="preserve"> PAGEREF _Toc195616907 \h </w:instrText>
            </w:r>
            <w:r>
              <w:rPr>
                <w:noProof/>
                <w:webHidden/>
              </w:rPr>
            </w:r>
            <w:r>
              <w:rPr>
                <w:noProof/>
                <w:webHidden/>
              </w:rPr>
              <w:fldChar w:fldCharType="separate"/>
            </w:r>
            <w:r>
              <w:rPr>
                <w:noProof/>
                <w:webHidden/>
              </w:rPr>
              <w:t>9</w:t>
            </w:r>
            <w:r>
              <w:rPr>
                <w:noProof/>
                <w:webHidden/>
              </w:rPr>
              <w:fldChar w:fldCharType="end"/>
            </w:r>
          </w:hyperlink>
        </w:p>
        <w:p w14:paraId="09045C9F" w14:textId="1D5F0048" w:rsidR="00487F52" w:rsidRDefault="00487F52">
          <w:pPr>
            <w:pStyle w:val="TOC1"/>
            <w:rPr>
              <w:rFonts w:asciiTheme="minorHAnsi" w:eastAsiaTheme="minorEastAsia" w:hAnsiTheme="minorHAnsi" w:cstheme="minorBidi"/>
              <w:noProof/>
              <w:color w:val="auto"/>
              <w:kern w:val="2"/>
              <w:lang w:val="en-IE" w:eastAsia="en-IE"/>
              <w14:ligatures w14:val="standardContextual"/>
            </w:rPr>
          </w:pPr>
          <w:hyperlink w:anchor="_Toc195616911" w:history="1">
            <w:r w:rsidRPr="00FF5B8F">
              <w:rPr>
                <w:rStyle w:val="Hyperlink"/>
                <w:noProof/>
              </w:rPr>
              <w:t>Summary</w:t>
            </w:r>
            <w:r>
              <w:rPr>
                <w:noProof/>
                <w:webHidden/>
              </w:rPr>
              <w:tab/>
            </w:r>
            <w:r>
              <w:rPr>
                <w:noProof/>
                <w:webHidden/>
              </w:rPr>
              <w:fldChar w:fldCharType="begin"/>
            </w:r>
            <w:r>
              <w:rPr>
                <w:noProof/>
                <w:webHidden/>
              </w:rPr>
              <w:instrText xml:space="preserve"> PAGEREF _Toc195616911 \h </w:instrText>
            </w:r>
            <w:r>
              <w:rPr>
                <w:noProof/>
                <w:webHidden/>
              </w:rPr>
            </w:r>
            <w:r>
              <w:rPr>
                <w:noProof/>
                <w:webHidden/>
              </w:rPr>
              <w:fldChar w:fldCharType="separate"/>
            </w:r>
            <w:r>
              <w:rPr>
                <w:noProof/>
                <w:webHidden/>
              </w:rPr>
              <w:t>13</w:t>
            </w:r>
            <w:r>
              <w:rPr>
                <w:noProof/>
                <w:webHidden/>
              </w:rPr>
              <w:fldChar w:fldCharType="end"/>
            </w:r>
          </w:hyperlink>
        </w:p>
        <w:p w14:paraId="47FA4260" w14:textId="0761FE08" w:rsidR="00901C85" w:rsidRPr="00504BDF" w:rsidRDefault="00901C85" w:rsidP="00504BDF">
          <w:pPr>
            <w:pStyle w:val="TOC1"/>
            <w:tabs>
              <w:tab w:val="left" w:pos="720"/>
            </w:tabs>
            <w:rPr>
              <w:rFonts w:asciiTheme="minorHAnsi" w:eastAsiaTheme="minorEastAsia" w:hAnsiTheme="minorHAnsi" w:cstheme="minorBidi"/>
              <w:noProof/>
              <w:color w:val="auto"/>
              <w:kern w:val="2"/>
              <w:lang w:val="en-IE" w:eastAsia="en-IE"/>
              <w14:ligatures w14:val="standardContextual"/>
            </w:rPr>
          </w:pPr>
          <w:r>
            <w:rPr>
              <w:b/>
              <w:bCs/>
              <w:noProof/>
            </w:rPr>
            <w:fldChar w:fldCharType="end"/>
          </w:r>
        </w:p>
      </w:sdtContent>
    </w:sdt>
    <w:p w14:paraId="7D78B1D4" w14:textId="6E7A8C17" w:rsidR="00305837" w:rsidRPr="00504BDF" w:rsidRDefault="002906CC" w:rsidP="00504BDF">
      <w:pPr>
        <w:spacing w:line="259" w:lineRule="auto"/>
        <w:jc w:val="both"/>
        <w:rPr>
          <w:rFonts w:eastAsiaTheme="majorEastAsia" w:cstheme="majorBidi"/>
          <w:b/>
          <w:bCs/>
          <w:color w:val="44546A" w:themeColor="text2"/>
          <w:sz w:val="28"/>
          <w:szCs w:val="28"/>
          <w:u w:val="single"/>
          <w:shd w:val="clear" w:color="auto" w:fill="FFFFFF"/>
          <w:lang w:val="en-IE"/>
        </w:rPr>
      </w:pPr>
      <w:r w:rsidRPr="006840B6">
        <w:rPr>
          <w:color w:val="44546A" w:themeColor="text2"/>
          <w:shd w:val="clear" w:color="auto" w:fill="FFFFFF"/>
          <w:lang w:val="en-IE"/>
        </w:rPr>
        <w:br w:type="page"/>
      </w:r>
      <w:bookmarkStart w:id="4" w:name="_Toc160198383"/>
      <w:r w:rsidR="00305837" w:rsidRPr="00504BDF">
        <w:rPr>
          <w:b/>
          <w:bCs/>
          <w:color w:val="44546A" w:themeColor="text2"/>
          <w:sz w:val="28"/>
          <w:szCs w:val="28"/>
          <w:u w:val="single"/>
          <w:shd w:val="clear" w:color="auto" w:fill="FFFFFF"/>
          <w:lang w:val="en-IE"/>
        </w:rPr>
        <w:lastRenderedPageBreak/>
        <w:t>About Chambers Ireland</w:t>
      </w:r>
      <w:bookmarkEnd w:id="3"/>
      <w:bookmarkEnd w:id="2"/>
      <w:bookmarkEnd w:id="1"/>
      <w:bookmarkEnd w:id="0"/>
      <w:bookmarkEnd w:id="4"/>
    </w:p>
    <w:p w14:paraId="11BFB77C" w14:textId="1DE9579A" w:rsidR="005C3872" w:rsidRDefault="00305837" w:rsidP="00507EFC">
      <w:pPr>
        <w:spacing w:after="0"/>
        <w:contextualSpacing/>
        <w:jc w:val="both"/>
        <w:rPr>
          <w:rFonts w:eastAsiaTheme="minorEastAsia" w:cs="Arial"/>
          <w:color w:val="44546A" w:themeColor="text2"/>
          <w:lang w:val="en-IE"/>
        </w:rPr>
      </w:pPr>
      <w:r w:rsidRPr="006840B6">
        <w:rPr>
          <w:rFonts w:eastAsiaTheme="minorEastAsia" w:cs="Arial"/>
          <w:color w:val="44546A" w:themeColor="text2"/>
          <w:lang w:val="en-IE"/>
        </w:rPr>
        <w:t xml:space="preserve">Chambers Ireland is an all-island business organisation with a unique geographical reach. Our members are </w:t>
      </w:r>
      <w:r w:rsidR="00504BDF">
        <w:rPr>
          <w:rFonts w:eastAsiaTheme="minorEastAsia" w:cs="Arial"/>
          <w:color w:val="44546A" w:themeColor="text2"/>
          <w:lang w:val="en-IE"/>
        </w:rPr>
        <w:t>affiliated</w:t>
      </w:r>
      <w:r w:rsidRPr="006840B6">
        <w:rPr>
          <w:rFonts w:eastAsiaTheme="minorEastAsia" w:cs="Arial"/>
          <w:color w:val="44546A" w:themeColor="text2"/>
          <w:lang w:val="en-IE"/>
        </w:rPr>
        <w:t xml:space="preserve"> Chambers of Commerce in the cities and towns throughout the country – active in every constituency. Each of our member Chambers is central to their local business community and all seek to promote thriving local economies that can support sustainable cities and communities. </w:t>
      </w:r>
    </w:p>
    <w:p w14:paraId="59371CBB" w14:textId="77777777" w:rsidR="00E234FE" w:rsidRDefault="00E234FE" w:rsidP="00507EFC">
      <w:pPr>
        <w:spacing w:after="0"/>
        <w:contextualSpacing/>
        <w:jc w:val="both"/>
        <w:rPr>
          <w:rFonts w:eastAsiaTheme="minorEastAsia" w:cs="Arial"/>
          <w:color w:val="44546A" w:themeColor="text2"/>
          <w:lang w:val="en-IE"/>
        </w:rPr>
      </w:pPr>
    </w:p>
    <w:p w14:paraId="13E28730" w14:textId="77777777" w:rsidR="008C46F3" w:rsidRPr="008C46F3" w:rsidRDefault="008C46F3" w:rsidP="008C46F3">
      <w:pPr>
        <w:spacing w:after="0"/>
        <w:contextualSpacing/>
        <w:jc w:val="both"/>
        <w:rPr>
          <w:rFonts w:eastAsiaTheme="minorEastAsia" w:cs="Arial"/>
          <w:color w:val="44546A" w:themeColor="text2"/>
        </w:rPr>
      </w:pPr>
      <w:r w:rsidRPr="008C46F3">
        <w:rPr>
          <w:rFonts w:eastAsiaTheme="minorEastAsia" w:cs="Arial"/>
          <w:color w:val="44546A" w:themeColor="text2"/>
        </w:rPr>
        <w:t>Our Network has pledged to advocate for and support the advancement of the United Nations Sustainable Develo</w:t>
      </w:r>
      <w:bookmarkStart w:id="5" w:name="_Hlk194488349"/>
      <w:r w:rsidRPr="008C46F3">
        <w:rPr>
          <w:rFonts w:eastAsiaTheme="minorEastAsia" w:cs="Arial"/>
          <w:color w:val="44546A" w:themeColor="text2"/>
        </w:rPr>
        <w:t>p</w:t>
      </w:r>
      <w:bookmarkEnd w:id="5"/>
      <w:r w:rsidRPr="008C46F3">
        <w:rPr>
          <w:rFonts w:eastAsiaTheme="minorEastAsia" w:cs="Arial"/>
          <w:color w:val="44546A" w:themeColor="text2"/>
        </w:rPr>
        <w:t>ment Goals (SDGs). As SDG Champions, we use the Goals as a framework to identify policy priorities and communicate our recommendations. We have a particular focus on five of the goals encompassing decent work and economic growth (</w:t>
      </w:r>
      <w:bookmarkStart w:id="6" w:name="_Int_qgbovPZh"/>
      <w:r w:rsidRPr="008C46F3">
        <w:rPr>
          <w:rFonts w:eastAsiaTheme="minorEastAsia" w:cs="Arial"/>
          <w:color w:val="44546A" w:themeColor="text2"/>
        </w:rPr>
        <w:t>SDG</w:t>
      </w:r>
      <w:bookmarkEnd w:id="6"/>
      <w:r w:rsidRPr="008C46F3">
        <w:rPr>
          <w:rFonts w:eastAsiaTheme="minorEastAsia" w:cs="Arial"/>
          <w:color w:val="44546A" w:themeColor="text2"/>
        </w:rPr>
        <w:t xml:space="preserve"> 8), sustainable cities and communities (SDG 11), Gender Equality (SDG 5), Industry, Innovation, and Infrastructure (SDG 9) and climate action (SDG 13).</w:t>
      </w:r>
      <w:r w:rsidRPr="008C46F3">
        <w:rPr>
          <w:rFonts w:eastAsiaTheme="minorEastAsia" w:cs="Arial"/>
          <w:color w:val="44546A" w:themeColor="text2"/>
          <w:vertAlign w:val="superscript"/>
        </w:rPr>
        <w:footnoteReference w:id="2"/>
      </w:r>
    </w:p>
    <w:p w14:paraId="2E052EF3" w14:textId="07279096" w:rsidR="00E234FE" w:rsidRPr="006840B6" w:rsidRDefault="00E234FE" w:rsidP="00507EFC">
      <w:pPr>
        <w:spacing w:after="0"/>
        <w:contextualSpacing/>
        <w:jc w:val="both"/>
        <w:rPr>
          <w:rFonts w:eastAsiaTheme="minorEastAsia" w:cs="Arial"/>
          <w:color w:val="44546A" w:themeColor="text2"/>
          <w:lang w:val="en-IE"/>
        </w:rPr>
      </w:pPr>
    </w:p>
    <w:p w14:paraId="4CD658D9" w14:textId="77777777" w:rsidR="005C3872" w:rsidRPr="006840B6" w:rsidRDefault="005C3872" w:rsidP="00507EFC">
      <w:pPr>
        <w:spacing w:after="0"/>
        <w:contextualSpacing/>
        <w:jc w:val="both"/>
        <w:rPr>
          <w:rFonts w:eastAsiaTheme="minorEastAsia" w:cs="Arial"/>
          <w:color w:val="44546A" w:themeColor="text2"/>
          <w:lang w:val="en-IE"/>
        </w:rPr>
      </w:pPr>
    </w:p>
    <w:p w14:paraId="41A8147D" w14:textId="77777777" w:rsidR="00337748" w:rsidRPr="006840B6" w:rsidRDefault="00337748" w:rsidP="00507EFC">
      <w:pPr>
        <w:spacing w:after="0"/>
        <w:contextualSpacing/>
        <w:jc w:val="both"/>
        <w:rPr>
          <w:rFonts w:eastAsiaTheme="minorEastAsia" w:cs="Arial"/>
          <w:color w:val="44546A" w:themeColor="text2"/>
        </w:rPr>
      </w:pPr>
    </w:p>
    <w:p w14:paraId="2D4524E3" w14:textId="05DCC4E6" w:rsidR="00AD6D2E" w:rsidRPr="003E26DD" w:rsidRDefault="00305837" w:rsidP="003E26DD">
      <w:pPr>
        <w:jc w:val="both"/>
        <w:rPr>
          <w:rFonts w:eastAsiaTheme="minorEastAsia"/>
          <w:color w:val="44546A" w:themeColor="text2"/>
          <w:lang w:val="en-IE"/>
        </w:rPr>
      </w:pPr>
      <w:r w:rsidRPr="006840B6">
        <w:rPr>
          <w:rFonts w:eastAsiaTheme="minorEastAsia"/>
          <w:color w:val="44546A" w:themeColor="text2"/>
          <w:lang w:val="en-IE"/>
        </w:rPr>
        <w:br w:type="page"/>
      </w:r>
    </w:p>
    <w:p w14:paraId="3530C73C" w14:textId="194FFB87" w:rsidR="003808F0" w:rsidRPr="00145E0D" w:rsidRDefault="00504BDF" w:rsidP="00504BDF">
      <w:pPr>
        <w:pStyle w:val="Heading1"/>
        <w:numPr>
          <w:ilvl w:val="0"/>
          <w:numId w:val="0"/>
        </w:numPr>
      </w:pPr>
      <w:bookmarkStart w:id="7" w:name="_Toc195616902"/>
      <w:r>
        <w:lastRenderedPageBreak/>
        <w:t>Our</w:t>
      </w:r>
      <w:r w:rsidR="003808F0" w:rsidRPr="003808F0">
        <w:t xml:space="preserve"> Perspective</w:t>
      </w:r>
      <w:bookmarkEnd w:id="7"/>
    </w:p>
    <w:p w14:paraId="2B582902" w14:textId="77777777" w:rsidR="003808F0" w:rsidRPr="00847BFC" w:rsidRDefault="003808F0" w:rsidP="00504BDF">
      <w:pPr>
        <w:pStyle w:val="Heading2"/>
        <w:numPr>
          <w:ilvl w:val="0"/>
          <w:numId w:val="0"/>
        </w:numPr>
      </w:pPr>
      <w:bookmarkStart w:id="8" w:name="_Toc195616903"/>
      <w:r w:rsidRPr="00847BFC">
        <w:t>Climate Action Targets</w:t>
      </w:r>
      <w:bookmarkEnd w:id="8"/>
    </w:p>
    <w:p w14:paraId="1A856CE1" w14:textId="4FF0D354" w:rsidR="003808F0" w:rsidRPr="003808F0" w:rsidRDefault="003808F0" w:rsidP="003808F0">
      <w:pPr>
        <w:jc w:val="both"/>
        <w:rPr>
          <w:color w:val="44546A" w:themeColor="text2"/>
        </w:rPr>
      </w:pPr>
      <w:r w:rsidRPr="003808F0">
        <w:rPr>
          <w:color w:val="44546A" w:themeColor="text2"/>
        </w:rPr>
        <w:t>A long-term focus on reaching our climate targets requires coordinated action and a clear roadmap for all stakeholders across both the public and private sectors. Successive Climate Action Plans have been instrumental in defining that roadmap and plotting our course to climate neutrality, however, previous iterations of the Plan have failed to result in adequate levels of progress.</w:t>
      </w:r>
      <w:r w:rsidR="00556589">
        <w:rPr>
          <w:color w:val="44546A" w:themeColor="text2"/>
        </w:rPr>
        <w:t xml:space="preserve"> </w:t>
      </w:r>
      <w:r w:rsidR="000C5F08" w:rsidRPr="000C5F08">
        <w:rPr>
          <w:color w:val="44546A" w:themeColor="text2"/>
        </w:rPr>
        <w:t xml:space="preserve">Minister for the Environment Darragh O'Brien will seek Cabinet approval on Tuesday </w:t>
      </w:r>
      <w:r w:rsidR="000C5F08">
        <w:rPr>
          <w:color w:val="44546A" w:themeColor="text2"/>
        </w:rPr>
        <w:t xml:space="preserve">15 April </w:t>
      </w:r>
      <w:r w:rsidR="000C5F08" w:rsidRPr="000C5F08">
        <w:rPr>
          <w:color w:val="44546A" w:themeColor="text2"/>
        </w:rPr>
        <w:t>for this year’s Climate Action Plan (CAP)</w:t>
      </w:r>
      <w:r w:rsidR="00D153E5">
        <w:rPr>
          <w:color w:val="44546A" w:themeColor="text2"/>
        </w:rPr>
        <w:t xml:space="preserve">. </w:t>
      </w:r>
    </w:p>
    <w:p w14:paraId="7D01E790" w14:textId="21834E30" w:rsidR="003808F0" w:rsidRPr="003808F0" w:rsidRDefault="003808F0" w:rsidP="003808F0">
      <w:pPr>
        <w:jc w:val="both"/>
        <w:rPr>
          <w:color w:val="44546A" w:themeColor="text2"/>
        </w:rPr>
      </w:pPr>
      <w:r w:rsidRPr="003808F0">
        <w:rPr>
          <w:color w:val="44546A" w:themeColor="text2"/>
        </w:rPr>
        <w:t>We have been set the goal to reduce the extent of further global warming, by pursuing and achieving, “by no later than the end of the year 2050, the transition to a climate resilient, biodiversity-rich, environmentally sustainable and climate neutral economy”. The interim goal of achieving a 51% reduction in greenhouse gas emissions by 2030 compared to 2018 levels also sets a clear parameter for the actions we need to take and the level of activity that needs to be implemented if we are to meet these targets and achieve meaningful results.</w:t>
      </w:r>
    </w:p>
    <w:p w14:paraId="6A201ED2" w14:textId="2C7F4773" w:rsidR="003808F0" w:rsidRPr="003808F0" w:rsidRDefault="003808F0" w:rsidP="003808F0">
      <w:pPr>
        <w:jc w:val="both"/>
        <w:rPr>
          <w:color w:val="44546A" w:themeColor="text2"/>
        </w:rPr>
      </w:pPr>
      <w:r w:rsidRPr="003808F0">
        <w:rPr>
          <w:color w:val="44546A" w:themeColor="text2"/>
        </w:rPr>
        <w:t xml:space="preserve">The State lags well behind its EU peers in terms of </w:t>
      </w:r>
      <w:r w:rsidR="00504BDF">
        <w:rPr>
          <w:color w:val="44546A" w:themeColor="text2"/>
        </w:rPr>
        <w:t xml:space="preserve">reducing </w:t>
      </w:r>
      <w:r w:rsidRPr="003808F0">
        <w:rPr>
          <w:color w:val="44546A" w:themeColor="text2"/>
        </w:rPr>
        <w:t xml:space="preserve">CO2 emissions and this is </w:t>
      </w:r>
      <w:r w:rsidR="00504BDF">
        <w:rPr>
          <w:color w:val="44546A" w:themeColor="text2"/>
        </w:rPr>
        <w:t xml:space="preserve">largely </w:t>
      </w:r>
      <w:r w:rsidRPr="003808F0">
        <w:rPr>
          <w:color w:val="44546A" w:themeColor="text2"/>
        </w:rPr>
        <w:t xml:space="preserve">down to </w:t>
      </w:r>
      <w:r w:rsidR="00504BDF">
        <w:rPr>
          <w:color w:val="44546A" w:themeColor="text2"/>
        </w:rPr>
        <w:t xml:space="preserve">inconsistent </w:t>
      </w:r>
      <w:r w:rsidRPr="003808F0">
        <w:rPr>
          <w:color w:val="44546A" w:themeColor="text2"/>
        </w:rPr>
        <w:t xml:space="preserve">action in advancing our infrastructure. Decades of underinvestment, issues with planning and regulatory uncertainty have resulted in hindering projects which are vital to meeting our climate targets. This not only </w:t>
      </w:r>
      <w:proofErr w:type="gramStart"/>
      <w:r w:rsidRPr="003808F0">
        <w:rPr>
          <w:color w:val="44546A" w:themeColor="text2"/>
        </w:rPr>
        <w:t>impacts</w:t>
      </w:r>
      <w:proofErr w:type="gramEnd"/>
      <w:r w:rsidRPr="003808F0">
        <w:rPr>
          <w:color w:val="44546A" w:themeColor="text2"/>
        </w:rPr>
        <w:t xml:space="preserve"> our </w:t>
      </w:r>
      <w:proofErr w:type="gramStart"/>
      <w:r w:rsidRPr="003808F0">
        <w:rPr>
          <w:color w:val="44546A" w:themeColor="text2"/>
        </w:rPr>
        <w:t>competitiveness, but</w:t>
      </w:r>
      <w:proofErr w:type="gramEnd"/>
      <w:r w:rsidRPr="003808F0">
        <w:rPr>
          <w:color w:val="44546A" w:themeColor="text2"/>
        </w:rPr>
        <w:t xml:space="preserve"> critically means that meeting those targets is increasingly out of </w:t>
      </w:r>
      <w:proofErr w:type="gramStart"/>
      <w:r w:rsidRPr="003808F0">
        <w:rPr>
          <w:color w:val="44546A" w:themeColor="text2"/>
        </w:rPr>
        <w:t>our reach</w:t>
      </w:r>
      <w:proofErr w:type="gramEnd"/>
      <w:r w:rsidRPr="003808F0">
        <w:rPr>
          <w:color w:val="44546A" w:themeColor="text2"/>
        </w:rPr>
        <w:t>.</w:t>
      </w:r>
    </w:p>
    <w:p w14:paraId="69C330ED" w14:textId="23A177E0" w:rsidR="003808F0" w:rsidRPr="003808F0" w:rsidRDefault="003808F0" w:rsidP="003808F0">
      <w:pPr>
        <w:jc w:val="both"/>
        <w:rPr>
          <w:color w:val="44546A" w:themeColor="text2"/>
        </w:rPr>
      </w:pPr>
      <w:r w:rsidRPr="003808F0">
        <w:rPr>
          <w:color w:val="44546A" w:themeColor="text2"/>
        </w:rPr>
        <w:t xml:space="preserve">The statistics are bleak; in 2022, Ireland had the second highest emissions of greenhouse gases per capita in the EU27 at 11.7 </w:t>
      </w:r>
      <w:proofErr w:type="spellStart"/>
      <w:r w:rsidRPr="003808F0">
        <w:rPr>
          <w:color w:val="44546A" w:themeColor="text2"/>
        </w:rPr>
        <w:t>tonnes</w:t>
      </w:r>
      <w:proofErr w:type="spellEnd"/>
      <w:r w:rsidRPr="003808F0">
        <w:rPr>
          <w:color w:val="44546A" w:themeColor="text2"/>
        </w:rPr>
        <w:t xml:space="preserve"> of carbon dioxide equivalent per capita. Ireland's emissions were 56% higher than the EU27 average of 7.5 </w:t>
      </w:r>
      <w:proofErr w:type="spellStart"/>
      <w:r w:rsidRPr="003808F0">
        <w:rPr>
          <w:color w:val="44546A" w:themeColor="text2"/>
        </w:rPr>
        <w:t>tonnes</w:t>
      </w:r>
      <w:proofErr w:type="spellEnd"/>
      <w:r w:rsidR="00BA11AD">
        <w:rPr>
          <w:rStyle w:val="FootnoteReference"/>
          <w:color w:val="44546A" w:themeColor="text2"/>
        </w:rPr>
        <w:footnoteReference w:id="3"/>
      </w:r>
      <w:r w:rsidRPr="003808F0">
        <w:rPr>
          <w:color w:val="44546A" w:themeColor="text2"/>
        </w:rPr>
        <w:t xml:space="preserve">. Last year the Environmental Protection </w:t>
      </w:r>
      <w:r w:rsidRPr="003808F0">
        <w:rPr>
          <w:color w:val="44546A" w:themeColor="text2"/>
        </w:rPr>
        <w:lastRenderedPageBreak/>
        <w:t>Agency noted how Ireland will achieve a reduction of only 29% in greenhouse gas emissions by 2030, compared with the target of 51%</w:t>
      </w:r>
      <w:r w:rsidR="004C78B0">
        <w:rPr>
          <w:rStyle w:val="FootnoteReference"/>
          <w:color w:val="44546A" w:themeColor="text2"/>
        </w:rPr>
        <w:footnoteReference w:id="4"/>
      </w:r>
      <w:r w:rsidRPr="003808F0">
        <w:rPr>
          <w:color w:val="44546A" w:themeColor="text2"/>
        </w:rPr>
        <w:t>. It also noted the following essential statistics:</w:t>
      </w:r>
    </w:p>
    <w:p w14:paraId="075DD1EA" w14:textId="35894CAC" w:rsidR="003808F0" w:rsidRPr="003808F0" w:rsidRDefault="003808F0" w:rsidP="003808F0">
      <w:pPr>
        <w:jc w:val="both"/>
        <w:rPr>
          <w:color w:val="44546A" w:themeColor="text2"/>
        </w:rPr>
      </w:pPr>
      <w:r w:rsidRPr="003808F0">
        <w:rPr>
          <w:color w:val="44546A" w:themeColor="text2"/>
        </w:rPr>
        <w:t>To achieve a reduction of 29% would require full implementation of a wide range of policies and plans across all sectors and for these to deliver the anticipated carbon savings.</w:t>
      </w:r>
      <w:r w:rsidR="00145E0D">
        <w:rPr>
          <w:color w:val="44546A" w:themeColor="text2"/>
        </w:rPr>
        <w:t xml:space="preserve"> </w:t>
      </w:r>
      <w:r w:rsidRPr="003808F0">
        <w:rPr>
          <w:color w:val="44546A" w:themeColor="text2"/>
        </w:rPr>
        <w:t>Almost all sectors are on a trajectory to exceed their national sectoral emissions ceilings for 2025 and 2030, including Agriculture, Electricity and Transport.</w:t>
      </w:r>
      <w:r w:rsidR="00145E0D">
        <w:rPr>
          <w:color w:val="44546A" w:themeColor="text2"/>
        </w:rPr>
        <w:t xml:space="preserve"> </w:t>
      </w:r>
      <w:r w:rsidRPr="003808F0">
        <w:rPr>
          <w:color w:val="44546A" w:themeColor="text2"/>
        </w:rPr>
        <w:t>The first two carbon budgets (2021-2030) will not be met, and by a significant margin of between 17 and 27%.</w:t>
      </w:r>
      <w:r w:rsidR="00145E0D">
        <w:rPr>
          <w:color w:val="44546A" w:themeColor="text2"/>
        </w:rPr>
        <w:t xml:space="preserve"> </w:t>
      </w:r>
      <w:r w:rsidRPr="003808F0">
        <w:rPr>
          <w:color w:val="44546A" w:themeColor="text2"/>
        </w:rPr>
        <w:t>Ireland will not meet its EU Effort Sharing Regulation target of 42% reduction by 2030.</w:t>
      </w:r>
    </w:p>
    <w:p w14:paraId="354AA3FF" w14:textId="5CBB9E03" w:rsidR="003808F0" w:rsidRPr="003808F0" w:rsidRDefault="003808F0" w:rsidP="003808F0">
      <w:pPr>
        <w:jc w:val="both"/>
        <w:rPr>
          <w:color w:val="44546A" w:themeColor="text2"/>
        </w:rPr>
      </w:pPr>
      <w:r w:rsidRPr="003808F0">
        <w:rPr>
          <w:color w:val="44546A" w:themeColor="text2"/>
        </w:rPr>
        <w:t>The statistics show that the State must rapidly accelerate renewable infrastructure projects</w:t>
      </w:r>
      <w:r w:rsidR="00504BDF">
        <w:rPr>
          <w:color w:val="44546A" w:themeColor="text2"/>
        </w:rPr>
        <w:t>,</w:t>
      </w:r>
      <w:r w:rsidRPr="003808F0">
        <w:rPr>
          <w:color w:val="44546A" w:themeColor="text2"/>
        </w:rPr>
        <w:t xml:space="preserve"> enabling sectors to </w:t>
      </w:r>
      <w:proofErr w:type="spellStart"/>
      <w:r w:rsidRPr="003808F0">
        <w:rPr>
          <w:color w:val="44546A" w:themeColor="text2"/>
        </w:rPr>
        <w:t>decarbonise</w:t>
      </w:r>
      <w:proofErr w:type="spellEnd"/>
      <w:r w:rsidRPr="003808F0">
        <w:rPr>
          <w:color w:val="44546A" w:themeColor="text2"/>
        </w:rPr>
        <w:t xml:space="preserve"> and enabling renewable energy generation will be key towards meeting our targets.  </w:t>
      </w:r>
    </w:p>
    <w:p w14:paraId="0B824B00" w14:textId="77777777" w:rsidR="003808F0" w:rsidRPr="003808F0" w:rsidRDefault="003808F0" w:rsidP="003808F0">
      <w:pPr>
        <w:jc w:val="both"/>
        <w:rPr>
          <w:color w:val="44546A" w:themeColor="text2"/>
        </w:rPr>
      </w:pPr>
    </w:p>
    <w:p w14:paraId="02D72E87" w14:textId="716C46D6" w:rsidR="003808F0" w:rsidRPr="00145E0D" w:rsidRDefault="00847BFC" w:rsidP="00504BDF">
      <w:pPr>
        <w:pStyle w:val="Heading2"/>
        <w:numPr>
          <w:ilvl w:val="0"/>
          <w:numId w:val="0"/>
        </w:numPr>
      </w:pPr>
      <w:bookmarkStart w:id="9" w:name="_Toc195616904"/>
      <w:r>
        <w:t>Diversifying our energy mix</w:t>
      </w:r>
      <w:bookmarkEnd w:id="9"/>
    </w:p>
    <w:p w14:paraId="4D006C3C" w14:textId="0838FB74" w:rsidR="003808F0" w:rsidRPr="003808F0" w:rsidRDefault="003808F0" w:rsidP="003808F0">
      <w:pPr>
        <w:jc w:val="both"/>
        <w:rPr>
          <w:color w:val="44546A" w:themeColor="text2"/>
        </w:rPr>
      </w:pPr>
      <w:r w:rsidRPr="003808F0">
        <w:rPr>
          <w:color w:val="44546A" w:themeColor="text2"/>
        </w:rPr>
        <w:t>In essence, energy diversification is not just a technical challenge — it’s a national priority. It weaves together climate action, economic opportunity, energy independence and social wellbeing. For Ireland, embracing a broader energy mix means shaping a future that is not only greener but also fairer and more secure.</w:t>
      </w:r>
    </w:p>
    <w:p w14:paraId="244506E6" w14:textId="3D26B6DA" w:rsidR="003808F0" w:rsidRPr="003808F0" w:rsidRDefault="003808F0" w:rsidP="003808F0">
      <w:pPr>
        <w:jc w:val="both"/>
        <w:rPr>
          <w:color w:val="44546A" w:themeColor="text2"/>
        </w:rPr>
      </w:pPr>
      <w:r w:rsidRPr="003808F0">
        <w:rPr>
          <w:color w:val="44546A" w:themeColor="text2"/>
        </w:rPr>
        <w:t>Diversifying our energy mix is a critical step for the State as it looks to secure a stable and economically resilient future. For too long Ireland has relied heavily on imported fossil fuels to meet its energy needs. This overreliance exposes the country to external shocks, including geopolitical tensions, supply chain disruptions</w:t>
      </w:r>
      <w:r w:rsidR="00504BDF">
        <w:rPr>
          <w:color w:val="44546A" w:themeColor="text2"/>
        </w:rPr>
        <w:t>, security risks</w:t>
      </w:r>
      <w:r w:rsidRPr="003808F0">
        <w:rPr>
          <w:color w:val="44546A" w:themeColor="text2"/>
        </w:rPr>
        <w:t xml:space="preserve"> and their associated price distortions. By broadening the range of energy sources — especially through investment in </w:t>
      </w:r>
      <w:r w:rsidRPr="003808F0">
        <w:rPr>
          <w:color w:val="44546A" w:themeColor="text2"/>
        </w:rPr>
        <w:lastRenderedPageBreak/>
        <w:t>renewables like wind, solar and bioenergy — Ireland can reduce its vulnerability and take greater control over its own energy destiny.</w:t>
      </w:r>
    </w:p>
    <w:p w14:paraId="2EB0E70B" w14:textId="758D9CB9" w:rsidR="003808F0" w:rsidRPr="003808F0" w:rsidRDefault="003808F0" w:rsidP="003808F0">
      <w:pPr>
        <w:jc w:val="both"/>
        <w:rPr>
          <w:color w:val="44546A" w:themeColor="text2"/>
        </w:rPr>
      </w:pPr>
      <w:r w:rsidRPr="003808F0">
        <w:rPr>
          <w:color w:val="44546A" w:themeColor="text2"/>
        </w:rPr>
        <w:t>Beyond energy security, there is a pressing environmental imperative. We are subject to legally binding emissions reduction targets under both EU law and our own Climate Action Plan</w:t>
      </w:r>
      <w:r w:rsidR="00D614EF">
        <w:rPr>
          <w:rStyle w:val="FootnoteReference"/>
          <w:color w:val="44546A" w:themeColor="text2"/>
        </w:rPr>
        <w:footnoteReference w:id="5"/>
      </w:r>
      <w:r w:rsidRPr="003808F0">
        <w:rPr>
          <w:color w:val="44546A" w:themeColor="text2"/>
        </w:rPr>
        <w:t>. Meeting these goals will require a decisive shift away from fossil fuels and toward cleaner sources of energy</w:t>
      </w:r>
      <w:r w:rsidR="00504BDF">
        <w:rPr>
          <w:color w:val="44546A" w:themeColor="text2"/>
        </w:rPr>
        <w:t>.</w:t>
      </w:r>
      <w:r w:rsidRPr="003808F0">
        <w:rPr>
          <w:color w:val="44546A" w:themeColor="text2"/>
        </w:rPr>
        <w:t xml:space="preserve"> </w:t>
      </w:r>
      <w:r w:rsidR="00504BDF">
        <w:rPr>
          <w:color w:val="44546A" w:themeColor="text2"/>
        </w:rPr>
        <w:t>B</w:t>
      </w:r>
      <w:r w:rsidRPr="003808F0">
        <w:rPr>
          <w:color w:val="44546A" w:themeColor="text2"/>
        </w:rPr>
        <w:t xml:space="preserve">iomethane and </w:t>
      </w:r>
      <w:r w:rsidR="00504BDF">
        <w:rPr>
          <w:color w:val="44546A" w:themeColor="text2"/>
        </w:rPr>
        <w:t>G</w:t>
      </w:r>
      <w:r w:rsidRPr="003808F0">
        <w:rPr>
          <w:color w:val="44546A" w:themeColor="text2"/>
        </w:rPr>
        <w:t xml:space="preserve">reen </w:t>
      </w:r>
      <w:r w:rsidR="00504BDF">
        <w:rPr>
          <w:color w:val="44546A" w:themeColor="text2"/>
        </w:rPr>
        <w:t>H</w:t>
      </w:r>
      <w:r w:rsidRPr="003808F0">
        <w:rPr>
          <w:color w:val="44546A" w:themeColor="text2"/>
        </w:rPr>
        <w:t xml:space="preserve">ydrogen will both play a critical role in doing that. A more diverse energy mix, with renewables at its core, is essential to </w:t>
      </w:r>
      <w:proofErr w:type="spellStart"/>
      <w:r w:rsidRPr="003808F0">
        <w:rPr>
          <w:color w:val="44546A" w:themeColor="text2"/>
        </w:rPr>
        <w:t>decarbonise</w:t>
      </w:r>
      <w:proofErr w:type="spellEnd"/>
      <w:r w:rsidRPr="003808F0">
        <w:rPr>
          <w:color w:val="44546A" w:themeColor="text2"/>
        </w:rPr>
        <w:t xml:space="preserve"> not just electricity, but also harder-to-reach sectors like transport, heating and industry. By spreading our energy supply across multiple sources, including emerging technologies like </w:t>
      </w:r>
      <w:r w:rsidR="00504BDF">
        <w:rPr>
          <w:color w:val="44546A" w:themeColor="text2"/>
        </w:rPr>
        <w:t>G</w:t>
      </w:r>
      <w:r w:rsidRPr="003808F0">
        <w:rPr>
          <w:color w:val="44546A" w:themeColor="text2"/>
        </w:rPr>
        <w:t xml:space="preserve">reen Hydrogen we create a more flexible system </w:t>
      </w:r>
      <w:proofErr w:type="gramStart"/>
      <w:r w:rsidRPr="003808F0">
        <w:rPr>
          <w:color w:val="44546A" w:themeColor="text2"/>
        </w:rPr>
        <w:t>capable</w:t>
      </w:r>
      <w:proofErr w:type="gramEnd"/>
      <w:r w:rsidRPr="003808F0">
        <w:rPr>
          <w:color w:val="44546A" w:themeColor="text2"/>
        </w:rPr>
        <w:t xml:space="preserve"> conducive towards meeting those targets.</w:t>
      </w:r>
    </w:p>
    <w:p w14:paraId="69080C4E" w14:textId="3291CBAD" w:rsidR="003808F0" w:rsidRPr="003808F0" w:rsidRDefault="003808F0" w:rsidP="003808F0">
      <w:pPr>
        <w:jc w:val="both"/>
        <w:rPr>
          <w:color w:val="44546A" w:themeColor="text2"/>
        </w:rPr>
      </w:pPr>
      <w:r w:rsidRPr="003808F0">
        <w:rPr>
          <w:color w:val="44546A" w:themeColor="text2"/>
        </w:rPr>
        <w:t>There are also strong economic incentives for diversifying. Renewable energy can become a cornerstone of regional development, particularly in coastal and rural areas where wind, biomass, and solar resources are strongest. This is a point which the Chamber Network</w:t>
      </w:r>
      <w:r w:rsidR="00504BDF">
        <w:rPr>
          <w:color w:val="44546A" w:themeColor="text2"/>
        </w:rPr>
        <w:t xml:space="preserve"> resonates strongly with</w:t>
      </w:r>
      <w:r w:rsidRPr="003808F0">
        <w:rPr>
          <w:color w:val="44546A" w:themeColor="text2"/>
        </w:rPr>
        <w:t xml:space="preserve"> given the geographical reach of our all-island </w:t>
      </w:r>
      <w:proofErr w:type="spellStart"/>
      <w:r w:rsidRPr="003808F0">
        <w:rPr>
          <w:color w:val="44546A" w:themeColor="text2"/>
        </w:rPr>
        <w:t>organisation</w:t>
      </w:r>
      <w:proofErr w:type="spellEnd"/>
      <w:r w:rsidRPr="003808F0">
        <w:rPr>
          <w:color w:val="44546A" w:themeColor="text2"/>
        </w:rPr>
        <w:t>. Offshore wind, for instance, offers enormous potential to create high-quality jobs, drive investment in ports and infrastructure, and establish Ireland as a clean energy exporter. At the same time, a more varied mix protects both businesses and consumers from the kind of price volatility seen in global markets and offers more predictable costs in the long term.</w:t>
      </w:r>
    </w:p>
    <w:p w14:paraId="600D6CE8" w14:textId="2C4726B0" w:rsidR="003808F0" w:rsidRPr="003808F0" w:rsidRDefault="003808F0" w:rsidP="003808F0">
      <w:pPr>
        <w:jc w:val="both"/>
        <w:rPr>
          <w:color w:val="44546A" w:themeColor="text2"/>
        </w:rPr>
      </w:pPr>
    </w:p>
    <w:p w14:paraId="19B95A43" w14:textId="694B8607" w:rsidR="0090505B" w:rsidRPr="00847BFC" w:rsidRDefault="00F108E6" w:rsidP="00F108E6">
      <w:pPr>
        <w:pStyle w:val="Heading2"/>
        <w:numPr>
          <w:ilvl w:val="0"/>
          <w:numId w:val="0"/>
        </w:numPr>
      </w:pPr>
      <w:bookmarkStart w:id="10" w:name="_Toc195616905"/>
      <w:r>
        <w:t xml:space="preserve">Essential </w:t>
      </w:r>
      <w:r w:rsidR="003808F0" w:rsidRPr="003808F0">
        <w:t>Investment</w:t>
      </w:r>
      <w:bookmarkEnd w:id="10"/>
    </w:p>
    <w:p w14:paraId="748D83A1" w14:textId="1856EA0E" w:rsidR="003808F0" w:rsidRPr="003808F0" w:rsidRDefault="003808F0" w:rsidP="003808F0">
      <w:pPr>
        <w:jc w:val="both"/>
        <w:rPr>
          <w:color w:val="44546A" w:themeColor="text2"/>
        </w:rPr>
      </w:pPr>
      <w:r w:rsidRPr="003808F0">
        <w:rPr>
          <w:color w:val="44546A" w:themeColor="text2"/>
        </w:rPr>
        <w:t xml:space="preserve">We strongly support substantial investment in infrastructure development for renewables. Large-scale investment is required to develop </w:t>
      </w:r>
      <w:r w:rsidR="00533105">
        <w:rPr>
          <w:color w:val="44546A" w:themeColor="text2"/>
        </w:rPr>
        <w:t>B</w:t>
      </w:r>
      <w:r w:rsidRPr="003808F0">
        <w:rPr>
          <w:color w:val="44546A" w:themeColor="text2"/>
        </w:rPr>
        <w:t>iomethane, Hydrogen and other alternative energy sources.</w:t>
      </w:r>
      <w:r w:rsidR="00F108E6">
        <w:rPr>
          <w:color w:val="44546A" w:themeColor="text2"/>
        </w:rPr>
        <w:t xml:space="preserve"> </w:t>
      </w:r>
    </w:p>
    <w:p w14:paraId="47A7F8D5" w14:textId="595DE3B1" w:rsidR="003808F0" w:rsidRPr="003808F0" w:rsidRDefault="003808F0" w:rsidP="003808F0">
      <w:pPr>
        <w:jc w:val="both"/>
        <w:rPr>
          <w:color w:val="44546A" w:themeColor="text2"/>
        </w:rPr>
      </w:pPr>
      <w:r w:rsidRPr="003808F0">
        <w:rPr>
          <w:color w:val="44546A" w:themeColor="text2"/>
        </w:rPr>
        <w:lastRenderedPageBreak/>
        <w:t xml:space="preserve">The National Development Plan (NDP) has ambitious </w:t>
      </w:r>
      <w:proofErr w:type="spellStart"/>
      <w:r w:rsidRPr="003808F0">
        <w:rPr>
          <w:color w:val="44546A" w:themeColor="text2"/>
        </w:rPr>
        <w:t>decarbonisation</w:t>
      </w:r>
      <w:proofErr w:type="spellEnd"/>
      <w:r w:rsidRPr="003808F0">
        <w:rPr>
          <w:color w:val="44546A" w:themeColor="text2"/>
        </w:rPr>
        <w:t xml:space="preserve"> targets, aiming to significantly reduce carbon emissions by 2030</w:t>
      </w:r>
      <w:r w:rsidR="00533105">
        <w:rPr>
          <w:color w:val="44546A" w:themeColor="text2"/>
        </w:rPr>
        <w:t>,</w:t>
      </w:r>
      <w:r w:rsidRPr="003808F0">
        <w:rPr>
          <w:color w:val="44546A" w:themeColor="text2"/>
        </w:rPr>
        <w:t xml:space="preserve"> and sustained investment will be crucial to meet those targets within the short timeframe. Biomethane is a crucial component of the NDP and is expected to account for 10% of gas demand. Support schemes will be fundamental for stimulating growth in the biomethane sector particularly as they will aid in creating market certainty for developers. To that end, the availability of grants and financial incentives will be crucial.</w:t>
      </w:r>
    </w:p>
    <w:p w14:paraId="0CF9F29D" w14:textId="3C36BA09" w:rsidR="003808F0" w:rsidRPr="003808F0" w:rsidRDefault="003808F0" w:rsidP="003808F0">
      <w:pPr>
        <w:jc w:val="both"/>
        <w:rPr>
          <w:color w:val="44546A" w:themeColor="text2"/>
        </w:rPr>
      </w:pPr>
      <w:r w:rsidRPr="003808F0">
        <w:rPr>
          <w:color w:val="44546A" w:themeColor="text2"/>
        </w:rPr>
        <w:t xml:space="preserve">The government has allocated €40 million in capital grants for biomethane development, which is positive, there will need to be greater levels of support in subsequent phases to ensure the sustainability of biomethane production and to harness the latest research and innovation. These supports help reduce initial costs, encourage investment, reduce risk and bring down production costs.  In addition, moving to </w:t>
      </w:r>
      <w:proofErr w:type="gramStart"/>
      <w:r w:rsidRPr="003808F0">
        <w:rPr>
          <w:color w:val="44546A" w:themeColor="text2"/>
        </w:rPr>
        <w:t>larger-scale</w:t>
      </w:r>
      <w:proofErr w:type="gramEnd"/>
      <w:r w:rsidRPr="003808F0">
        <w:rPr>
          <w:color w:val="44546A" w:themeColor="text2"/>
        </w:rPr>
        <w:t xml:space="preserve"> biomethane production improves </w:t>
      </w:r>
      <w:proofErr w:type="gramStart"/>
      <w:r w:rsidRPr="003808F0">
        <w:rPr>
          <w:color w:val="44546A" w:themeColor="text2"/>
        </w:rPr>
        <w:t>efficiencies</w:t>
      </w:r>
      <w:proofErr w:type="gramEnd"/>
      <w:r w:rsidRPr="003808F0">
        <w:rPr>
          <w:color w:val="44546A" w:themeColor="text2"/>
        </w:rPr>
        <w:t xml:space="preserve"> and reduces costs. Ultimately, clear signals from the government that biomethane will be supported, </w:t>
      </w:r>
      <w:proofErr w:type="gramStart"/>
      <w:r w:rsidRPr="003808F0">
        <w:rPr>
          <w:color w:val="44546A" w:themeColor="text2"/>
        </w:rPr>
        <w:t>similar to</w:t>
      </w:r>
      <w:proofErr w:type="gramEnd"/>
      <w:r w:rsidRPr="003808F0">
        <w:rPr>
          <w:color w:val="44546A" w:themeColor="text2"/>
        </w:rPr>
        <w:t xml:space="preserve"> the support provided to the wind energy sector, are required. </w:t>
      </w:r>
    </w:p>
    <w:p w14:paraId="6BDD1885" w14:textId="36DE1C3C" w:rsidR="003808F0" w:rsidRPr="003808F0" w:rsidRDefault="003808F0" w:rsidP="003808F0">
      <w:pPr>
        <w:jc w:val="both"/>
        <w:rPr>
          <w:color w:val="44546A" w:themeColor="text2"/>
        </w:rPr>
      </w:pPr>
      <w:r w:rsidRPr="003808F0">
        <w:rPr>
          <w:color w:val="44546A" w:themeColor="text2"/>
        </w:rPr>
        <w:t xml:space="preserve">In terms of Hydrogen, Chambers Ireland have consistently advocated for further </w:t>
      </w:r>
      <w:proofErr w:type="gramStart"/>
      <w:r w:rsidRPr="003808F0">
        <w:rPr>
          <w:color w:val="44546A" w:themeColor="text2"/>
        </w:rPr>
        <w:t>development</w:t>
      </w:r>
      <w:proofErr w:type="gramEnd"/>
      <w:r w:rsidRPr="003808F0">
        <w:rPr>
          <w:color w:val="44546A" w:themeColor="text2"/>
        </w:rPr>
        <w:t xml:space="preserve"> and this is increasingly important as we look towards improving our energy security and striving towards independence from imported sources. The </w:t>
      </w:r>
      <w:proofErr w:type="gramStart"/>
      <w:r w:rsidRPr="003808F0">
        <w:rPr>
          <w:color w:val="44546A" w:themeColor="text2"/>
        </w:rPr>
        <w:t>national</w:t>
      </w:r>
      <w:proofErr w:type="gramEnd"/>
      <w:r w:rsidRPr="003808F0">
        <w:rPr>
          <w:color w:val="44546A" w:themeColor="text2"/>
        </w:rPr>
        <w:t xml:space="preserve"> Hydrogen Strategy</w:t>
      </w:r>
      <w:r w:rsidR="00553082">
        <w:rPr>
          <w:rStyle w:val="FootnoteReference"/>
          <w:color w:val="44546A" w:themeColor="text2"/>
        </w:rPr>
        <w:footnoteReference w:id="6"/>
      </w:r>
      <w:r w:rsidRPr="003808F0">
        <w:rPr>
          <w:color w:val="44546A" w:themeColor="text2"/>
        </w:rPr>
        <w:t xml:space="preserve"> and the EU Hydrogen Strategy</w:t>
      </w:r>
      <w:r w:rsidR="00352DE5">
        <w:rPr>
          <w:rStyle w:val="FootnoteReference"/>
          <w:color w:val="44546A" w:themeColor="text2"/>
        </w:rPr>
        <w:footnoteReference w:id="7"/>
      </w:r>
      <w:r w:rsidRPr="003808F0">
        <w:rPr>
          <w:color w:val="44546A" w:themeColor="text2"/>
        </w:rPr>
        <w:t xml:space="preserve"> both outline pathways for Hydrogen to become an intrinsic part of an integrated energy system</w:t>
      </w:r>
      <w:r w:rsidR="00533105">
        <w:rPr>
          <w:color w:val="44546A" w:themeColor="text2"/>
        </w:rPr>
        <w:t>.</w:t>
      </w:r>
      <w:r w:rsidRPr="003808F0">
        <w:rPr>
          <w:color w:val="44546A" w:themeColor="text2"/>
        </w:rPr>
        <w:t xml:space="preserve"> </w:t>
      </w:r>
      <w:r w:rsidR="00533105">
        <w:rPr>
          <w:color w:val="44546A" w:themeColor="text2"/>
        </w:rPr>
        <w:t>H</w:t>
      </w:r>
      <w:r w:rsidRPr="003808F0">
        <w:rPr>
          <w:color w:val="44546A" w:themeColor="text2"/>
        </w:rPr>
        <w:t>owever</w:t>
      </w:r>
      <w:r w:rsidR="00533105">
        <w:rPr>
          <w:color w:val="44546A" w:themeColor="text2"/>
        </w:rPr>
        <w:t>,</w:t>
      </w:r>
      <w:r w:rsidRPr="003808F0">
        <w:rPr>
          <w:color w:val="44546A" w:themeColor="text2"/>
        </w:rPr>
        <w:t xml:space="preserve"> this will require significant investments in renewable hydrogen </w:t>
      </w:r>
      <w:proofErr w:type="spellStart"/>
      <w:r w:rsidRPr="003808F0">
        <w:rPr>
          <w:color w:val="44546A" w:themeColor="text2"/>
        </w:rPr>
        <w:t>electrolysers</w:t>
      </w:r>
      <w:proofErr w:type="spellEnd"/>
      <w:r w:rsidRPr="003808F0">
        <w:rPr>
          <w:color w:val="44546A" w:themeColor="text2"/>
        </w:rPr>
        <w:t xml:space="preserve"> and production. Adequate, sustained investment will be critical to developing the necessary associated infrastructure - including pipelines, storage facilities and terminals - to support large-scale deployment.  Certainty will be essential for ensuring these significant capital projects can be built </w:t>
      </w:r>
      <w:proofErr w:type="gramStart"/>
      <w:r w:rsidRPr="003808F0">
        <w:rPr>
          <w:color w:val="44546A" w:themeColor="text2"/>
        </w:rPr>
        <w:t>in</w:t>
      </w:r>
      <w:proofErr w:type="gramEnd"/>
      <w:r w:rsidRPr="003808F0">
        <w:rPr>
          <w:color w:val="44546A" w:themeColor="text2"/>
        </w:rPr>
        <w:t xml:space="preserve"> respect to future demand.</w:t>
      </w:r>
    </w:p>
    <w:p w14:paraId="6251E975" w14:textId="74C35085" w:rsidR="003808F0" w:rsidRPr="003808F0" w:rsidRDefault="003808F0" w:rsidP="003808F0">
      <w:pPr>
        <w:jc w:val="both"/>
        <w:rPr>
          <w:color w:val="44546A" w:themeColor="text2"/>
        </w:rPr>
      </w:pPr>
    </w:p>
    <w:p w14:paraId="7B760B63" w14:textId="5EA3FFA7" w:rsidR="003808F0" w:rsidRPr="00143235" w:rsidRDefault="003808F0" w:rsidP="00533105">
      <w:pPr>
        <w:pStyle w:val="Heading2"/>
        <w:numPr>
          <w:ilvl w:val="0"/>
          <w:numId w:val="0"/>
        </w:numPr>
      </w:pPr>
      <w:bookmarkStart w:id="11" w:name="_Toc195616906"/>
      <w:r w:rsidRPr="003808F0">
        <w:t>Planning</w:t>
      </w:r>
      <w:bookmarkEnd w:id="11"/>
    </w:p>
    <w:p w14:paraId="25950357" w14:textId="51097903" w:rsidR="003808F0" w:rsidRPr="003808F0" w:rsidRDefault="003808F0" w:rsidP="003808F0">
      <w:pPr>
        <w:jc w:val="both"/>
        <w:rPr>
          <w:color w:val="44546A" w:themeColor="text2"/>
        </w:rPr>
      </w:pPr>
      <w:r w:rsidRPr="003808F0">
        <w:rPr>
          <w:color w:val="44546A" w:themeColor="text2"/>
        </w:rPr>
        <w:t xml:space="preserve">Planning issues have frequently impacted key deliverables in the National Development Plan (NDP). Many projects critical to meeting our climate targets have been beset with delays and cost overruns that threaten their viability, create unnecessary disruption, exacerbate issues with the capacity of current systems and </w:t>
      </w:r>
      <w:proofErr w:type="gramStart"/>
      <w:r w:rsidRPr="003808F0">
        <w:rPr>
          <w:color w:val="44546A" w:themeColor="text2"/>
        </w:rPr>
        <w:t>impact</w:t>
      </w:r>
      <w:proofErr w:type="gramEnd"/>
      <w:r w:rsidRPr="003808F0">
        <w:rPr>
          <w:color w:val="44546A" w:themeColor="text2"/>
        </w:rPr>
        <w:t xml:space="preserve"> individuals, families, businesses and the economy more broadly.</w:t>
      </w:r>
    </w:p>
    <w:p w14:paraId="4B0E5EC2" w14:textId="4910FD02" w:rsidR="003808F0" w:rsidRPr="003808F0" w:rsidRDefault="003808F0" w:rsidP="003808F0">
      <w:pPr>
        <w:jc w:val="both"/>
        <w:rPr>
          <w:color w:val="44546A" w:themeColor="text2"/>
        </w:rPr>
      </w:pPr>
      <w:r w:rsidRPr="003808F0">
        <w:rPr>
          <w:color w:val="44546A" w:themeColor="text2"/>
        </w:rPr>
        <w:t xml:space="preserve">The biggest issue with the planning system is the lack of </w:t>
      </w:r>
      <w:proofErr w:type="spellStart"/>
      <w:r w:rsidRPr="003808F0">
        <w:rPr>
          <w:color w:val="44546A" w:themeColor="text2"/>
        </w:rPr>
        <w:t>organisational</w:t>
      </w:r>
      <w:proofErr w:type="spellEnd"/>
      <w:r w:rsidRPr="003808F0">
        <w:rPr>
          <w:color w:val="44546A" w:themeColor="text2"/>
        </w:rPr>
        <w:t xml:space="preserve"> capacity. Decisions on licensing, grid access and planning permission take too long to be made and, without an effective, efficient and timely decision-making capacity in place, this has resulted in huge backlogs</w:t>
      </w:r>
      <w:r w:rsidR="00533105">
        <w:rPr>
          <w:color w:val="44546A" w:themeColor="text2"/>
        </w:rPr>
        <w:t>, delays and, crucially, very high costs</w:t>
      </w:r>
      <w:r w:rsidRPr="003808F0">
        <w:rPr>
          <w:color w:val="44546A" w:themeColor="text2"/>
        </w:rPr>
        <w:t>. Waiting times are untenable and are having a detrimental impact on numerous crucial infrastructure projects, particularly in terms of increasing the costs required for investment as time progresses during judicial reviews and appeals</w:t>
      </w:r>
      <w:r w:rsidR="00533105">
        <w:rPr>
          <w:color w:val="44546A" w:themeColor="text2"/>
        </w:rPr>
        <w:t>, and the risk of loss</w:t>
      </w:r>
      <w:r w:rsidR="000E3489">
        <w:rPr>
          <w:color w:val="44546A" w:themeColor="text2"/>
        </w:rPr>
        <w:t>es</w:t>
      </w:r>
      <w:r w:rsidR="00533105">
        <w:rPr>
          <w:color w:val="44546A" w:themeColor="text2"/>
        </w:rPr>
        <w:t xml:space="preserve"> if not approved.</w:t>
      </w:r>
    </w:p>
    <w:p w14:paraId="5D29492F" w14:textId="3FE8FAA2" w:rsidR="003808F0" w:rsidRPr="003808F0" w:rsidRDefault="003808F0" w:rsidP="003808F0">
      <w:pPr>
        <w:jc w:val="both"/>
        <w:rPr>
          <w:color w:val="44546A" w:themeColor="text2"/>
        </w:rPr>
      </w:pPr>
      <w:r w:rsidRPr="003808F0">
        <w:rPr>
          <w:color w:val="44546A" w:themeColor="text2"/>
        </w:rPr>
        <w:t>While we welcomed the passing of the Planning and Development Bill last year</w:t>
      </w:r>
      <w:r w:rsidR="0089150B">
        <w:rPr>
          <w:rStyle w:val="FootnoteReference"/>
          <w:color w:val="44546A" w:themeColor="text2"/>
        </w:rPr>
        <w:footnoteReference w:id="8"/>
      </w:r>
      <w:r w:rsidRPr="003808F0">
        <w:rPr>
          <w:color w:val="44546A" w:themeColor="text2"/>
        </w:rPr>
        <w:t>, alongside legislative reform we have advocated for stronger support and resources for planning authorities nationwide. Legislative reform is not the only ingredient required for improving the planning landscape; Local Government and the Courts and judicial system all need greater investment and resourcing. In addition, progress on integrating climate resilience into planning has also been slow, with many local authorities still struggling to fully incorporate climate adaptation measures. Inconsistent climate risk assessments and a lack of clear guidelines have hindered the integration of climate resilience into development plans. Without adequate integration, the State remains far from meeting its climate goals, undermining long-term sustainability, and leaving communities vulnerable to climate risks.</w:t>
      </w:r>
    </w:p>
    <w:p w14:paraId="2383203D" w14:textId="77777777" w:rsidR="00533105" w:rsidRDefault="003808F0" w:rsidP="00533105">
      <w:pPr>
        <w:jc w:val="both"/>
        <w:rPr>
          <w:color w:val="44546A" w:themeColor="text2"/>
        </w:rPr>
      </w:pPr>
      <w:r w:rsidRPr="003808F0">
        <w:rPr>
          <w:color w:val="44546A" w:themeColor="text2"/>
        </w:rPr>
        <w:lastRenderedPageBreak/>
        <w:t xml:space="preserve">In the context of biomethane, we were pleased that the National Biomethane Strategy was published last year. </w:t>
      </w:r>
      <w:r w:rsidR="00533105">
        <w:rPr>
          <w:color w:val="44546A" w:themeColor="text2"/>
        </w:rPr>
        <w:t>Regarding</w:t>
      </w:r>
      <w:r w:rsidRPr="003808F0">
        <w:rPr>
          <w:color w:val="44546A" w:themeColor="text2"/>
        </w:rPr>
        <w:t xml:space="preserve"> planning, it is important to </w:t>
      </w:r>
      <w:proofErr w:type="spellStart"/>
      <w:r w:rsidRPr="003808F0">
        <w:rPr>
          <w:color w:val="44546A" w:themeColor="text2"/>
        </w:rPr>
        <w:t>recognise</w:t>
      </w:r>
      <w:proofErr w:type="spellEnd"/>
      <w:r w:rsidRPr="003808F0">
        <w:rPr>
          <w:color w:val="44546A" w:themeColor="text2"/>
        </w:rPr>
        <w:t xml:space="preserve"> the potential opportunities of utilizing farm and food waste to produce carbon-neutral biomethane gas with a national target of 5.7TWh by 2030, the planning system will have to support the delivery of anaerobic digestion facilities to meet this demand.</w:t>
      </w:r>
    </w:p>
    <w:p w14:paraId="1B0D884A" w14:textId="0807694D" w:rsidR="003808F0" w:rsidRPr="00487F52" w:rsidRDefault="00487F52" w:rsidP="00487F52">
      <w:pPr>
        <w:pStyle w:val="Heading1"/>
        <w:numPr>
          <w:ilvl w:val="0"/>
          <w:numId w:val="0"/>
        </w:numPr>
      </w:pPr>
      <w:bookmarkStart w:id="12" w:name="_Toc195616907"/>
      <w:r>
        <w:t>Questions</w:t>
      </w:r>
      <w:bookmarkEnd w:id="12"/>
    </w:p>
    <w:p w14:paraId="2EF09784" w14:textId="7E4FCF21" w:rsidR="003808F0" w:rsidRPr="00241EE7" w:rsidRDefault="003808F0" w:rsidP="00533105">
      <w:pPr>
        <w:pStyle w:val="Heading2"/>
        <w:numPr>
          <w:ilvl w:val="0"/>
          <w:numId w:val="0"/>
        </w:numPr>
        <w:rPr>
          <w:color w:val="44546A" w:themeColor="text2"/>
        </w:rPr>
      </w:pPr>
      <w:bookmarkStart w:id="13" w:name="_Toc195283387"/>
      <w:bookmarkStart w:id="14" w:name="_Toc195616908"/>
      <w:r w:rsidRPr="003808F0">
        <w:t>Section 10 of the report describes GNI’s gas network planning. It briefly references capacity upgrades to compressor stations in Scotland and the Southern Area Reinforcement (SAR) project, but does not include details on other network upgrades, future investments or timeframes for such projects. What additional information would you like to see presented in relation to infrastructure development?</w:t>
      </w:r>
      <w:bookmarkEnd w:id="13"/>
      <w:bookmarkEnd w:id="14"/>
    </w:p>
    <w:p w14:paraId="5195E5A1" w14:textId="48E92663" w:rsidR="003808F0" w:rsidRPr="003808F0" w:rsidRDefault="003808F0" w:rsidP="003808F0">
      <w:pPr>
        <w:jc w:val="both"/>
        <w:rPr>
          <w:color w:val="44546A" w:themeColor="text2"/>
        </w:rPr>
      </w:pPr>
      <w:r w:rsidRPr="003808F0">
        <w:rPr>
          <w:color w:val="44546A" w:themeColor="text2"/>
        </w:rPr>
        <w:t xml:space="preserve">Chambers Ireland supports substantial investment in infrastructure development. While the investment in upgrading capacity in compressor stations in Scotland is welcome – there must be additional </w:t>
      </w:r>
      <w:proofErr w:type="gramStart"/>
      <w:r w:rsidRPr="003808F0">
        <w:rPr>
          <w:color w:val="44546A" w:themeColor="text2"/>
        </w:rPr>
        <w:t>large scale</w:t>
      </w:r>
      <w:proofErr w:type="gramEnd"/>
      <w:r w:rsidRPr="003808F0">
        <w:rPr>
          <w:color w:val="44546A" w:themeColor="text2"/>
        </w:rPr>
        <w:t xml:space="preserve"> investment in infrastructure to develop biomethane and other alternative sources.</w:t>
      </w:r>
    </w:p>
    <w:p w14:paraId="7E973AC2" w14:textId="4AEE55B3" w:rsidR="003808F0" w:rsidRPr="003808F0" w:rsidRDefault="003808F0" w:rsidP="003808F0">
      <w:pPr>
        <w:jc w:val="both"/>
        <w:rPr>
          <w:color w:val="44546A" w:themeColor="text2"/>
        </w:rPr>
      </w:pPr>
      <w:r w:rsidRPr="003808F0">
        <w:rPr>
          <w:color w:val="44546A" w:themeColor="text2"/>
        </w:rPr>
        <w:t>There is no form of renewable energy capacity that will not be useful when it comes</w:t>
      </w:r>
      <w:r w:rsidR="00533105">
        <w:rPr>
          <w:color w:val="44546A" w:themeColor="text2"/>
        </w:rPr>
        <w:t xml:space="preserve"> to</w:t>
      </w:r>
      <w:r w:rsidRPr="003808F0">
        <w:rPr>
          <w:color w:val="44546A" w:themeColor="text2"/>
        </w:rPr>
        <w:t xml:space="preserve"> decarbonization and our approach will need to be flexible to ensure that, as we encounter the novel problems that will emerge over the next fifteen years, we will have access to all the tools that can address those challenges best. Biomethane and Hydrogen will both play a critical role towards that goal.</w:t>
      </w:r>
    </w:p>
    <w:p w14:paraId="6752CD74" w14:textId="12E64ABA" w:rsidR="003808F0" w:rsidRPr="003808F0" w:rsidRDefault="003808F0" w:rsidP="003808F0">
      <w:pPr>
        <w:jc w:val="both"/>
        <w:rPr>
          <w:color w:val="44546A" w:themeColor="text2"/>
        </w:rPr>
      </w:pPr>
      <w:r w:rsidRPr="003808F0">
        <w:rPr>
          <w:color w:val="44546A" w:themeColor="text2"/>
        </w:rPr>
        <w:t xml:space="preserve">Biomethane has a role to play in reducing our carbon emissions significantly by 2030 and is expected to account for 10% of gas demand. Infrastructure </w:t>
      </w:r>
      <w:proofErr w:type="gramStart"/>
      <w:r w:rsidRPr="003808F0">
        <w:rPr>
          <w:color w:val="44546A" w:themeColor="text2"/>
        </w:rPr>
        <w:t>supports</w:t>
      </w:r>
      <w:proofErr w:type="gramEnd"/>
      <w:r w:rsidRPr="003808F0">
        <w:rPr>
          <w:color w:val="44546A" w:themeColor="text2"/>
        </w:rPr>
        <w:t xml:space="preserve"> will be essential to meet these targets within the short timeframe. They will help create a competitive advantage by justifying other infrastructure investments in certain areas and this will not only support the biomethane sector but also contribute to broader economic and environmental goals. </w:t>
      </w:r>
      <w:r w:rsidRPr="003808F0">
        <w:rPr>
          <w:color w:val="44546A" w:themeColor="text2"/>
        </w:rPr>
        <w:lastRenderedPageBreak/>
        <w:t>Additionally, they will create market certainty for developers, which is often an impediment to many renewable energy projects being implemented.</w:t>
      </w:r>
    </w:p>
    <w:p w14:paraId="638901D9" w14:textId="6E78721F" w:rsidR="003808F0" w:rsidRPr="003808F0" w:rsidRDefault="003808F0" w:rsidP="003808F0">
      <w:pPr>
        <w:jc w:val="both"/>
        <w:rPr>
          <w:color w:val="44546A" w:themeColor="text2"/>
        </w:rPr>
      </w:pPr>
      <w:r w:rsidRPr="003808F0">
        <w:rPr>
          <w:color w:val="44546A" w:themeColor="text2"/>
        </w:rPr>
        <w:t xml:space="preserve">Clear signals are required from </w:t>
      </w:r>
      <w:proofErr w:type="gramStart"/>
      <w:r w:rsidRPr="003808F0">
        <w:rPr>
          <w:color w:val="44546A" w:themeColor="text2"/>
        </w:rPr>
        <w:t>government</w:t>
      </w:r>
      <w:proofErr w:type="gramEnd"/>
      <w:r w:rsidRPr="003808F0">
        <w:rPr>
          <w:color w:val="44546A" w:themeColor="text2"/>
        </w:rPr>
        <w:t xml:space="preserve"> that biomethane will be supported.  While the government has allocated €40 million in capital grants for biomethane development, higher levels of support will be required in subsequent phases. To stimulate investment in biomethane production, capital grants and financial incentives will be crucial. Such </w:t>
      </w:r>
      <w:proofErr w:type="gramStart"/>
      <w:r w:rsidRPr="003808F0">
        <w:rPr>
          <w:color w:val="44546A" w:themeColor="text2"/>
        </w:rPr>
        <w:t>supports</w:t>
      </w:r>
      <w:proofErr w:type="gramEnd"/>
      <w:r w:rsidRPr="003808F0">
        <w:rPr>
          <w:color w:val="44546A" w:themeColor="text2"/>
        </w:rPr>
        <w:t xml:space="preserve"> will help reduce the initial costs of setting up plants and related infrastructure.  They additionally encourage investment, reduce risk, and help bring down production costs while also contributing to research and innovation.</w:t>
      </w:r>
    </w:p>
    <w:p w14:paraId="7C697EB2" w14:textId="32415562" w:rsidR="003808F0" w:rsidRPr="003808F0" w:rsidRDefault="003808F0" w:rsidP="003808F0">
      <w:pPr>
        <w:jc w:val="both"/>
        <w:rPr>
          <w:color w:val="44546A" w:themeColor="text2"/>
        </w:rPr>
      </w:pPr>
      <w:r w:rsidRPr="003808F0">
        <w:rPr>
          <w:color w:val="44546A" w:themeColor="text2"/>
        </w:rPr>
        <w:t xml:space="preserve">Chambers Ireland would like to see Hydrogen being further developed and the objective set down in the national Hydrogen Strategy being </w:t>
      </w:r>
      <w:proofErr w:type="spellStart"/>
      <w:r w:rsidRPr="003808F0">
        <w:rPr>
          <w:color w:val="44546A" w:themeColor="text2"/>
        </w:rPr>
        <w:t>realised</w:t>
      </w:r>
      <w:proofErr w:type="spellEnd"/>
      <w:r w:rsidRPr="003808F0">
        <w:rPr>
          <w:color w:val="44546A" w:themeColor="text2"/>
        </w:rPr>
        <w:t xml:space="preserve">. Hydrogen is a critical component in the EU's strategy to </w:t>
      </w:r>
      <w:proofErr w:type="spellStart"/>
      <w:proofErr w:type="gramStart"/>
      <w:r w:rsidRPr="003808F0">
        <w:rPr>
          <w:color w:val="44546A" w:themeColor="text2"/>
        </w:rPr>
        <w:t>decarbonise</w:t>
      </w:r>
      <w:proofErr w:type="spellEnd"/>
      <w:proofErr w:type="gramEnd"/>
      <w:r w:rsidRPr="003808F0">
        <w:rPr>
          <w:color w:val="44546A" w:themeColor="text2"/>
        </w:rPr>
        <w:t xml:space="preserve"> its energy system and enhance our energy security. Increasing its production will help Europe – and Ireland - reduce its reliance on gas imports and enhance our energy security. In our opinion, the goal for Hydrogen production in Ireland should be a net reduction in CO2 equivalent emissions, and individual use cases should be considered according to that aim.</w:t>
      </w:r>
    </w:p>
    <w:p w14:paraId="35A358F9" w14:textId="4E1A6FC2" w:rsidR="003808F0" w:rsidRPr="003808F0" w:rsidRDefault="003808F0" w:rsidP="003808F0">
      <w:pPr>
        <w:jc w:val="both"/>
        <w:rPr>
          <w:color w:val="44546A" w:themeColor="text2"/>
        </w:rPr>
      </w:pPr>
      <w:r w:rsidRPr="003808F0">
        <w:rPr>
          <w:color w:val="44546A" w:themeColor="text2"/>
        </w:rPr>
        <w:t xml:space="preserve">We have enormous opportunities to benefit from the exploitation of our renewable offshore energy resources, but we need far greater ambition to expand capacity and a Green Hydrogen industry that </w:t>
      </w:r>
      <w:proofErr w:type="gramStart"/>
      <w:r w:rsidRPr="003808F0">
        <w:rPr>
          <w:color w:val="44546A" w:themeColor="text2"/>
        </w:rPr>
        <w:t>operates at</w:t>
      </w:r>
      <w:proofErr w:type="gramEnd"/>
      <w:r w:rsidRPr="003808F0">
        <w:rPr>
          <w:color w:val="44546A" w:themeColor="text2"/>
        </w:rPr>
        <w:t xml:space="preserve"> scale is critical to store this energy over periods of weeks and months.</w:t>
      </w:r>
    </w:p>
    <w:p w14:paraId="208C1259" w14:textId="7B46A16A" w:rsidR="003808F0" w:rsidRPr="003808F0" w:rsidRDefault="003808F0" w:rsidP="003808F0">
      <w:pPr>
        <w:jc w:val="both"/>
        <w:rPr>
          <w:color w:val="44546A" w:themeColor="text2"/>
        </w:rPr>
      </w:pPr>
      <w:r w:rsidRPr="003808F0">
        <w:rPr>
          <w:color w:val="44546A" w:themeColor="text2"/>
        </w:rPr>
        <w:t xml:space="preserve">The EU Hydrogen Strategy outlines a pathway for hydrogen to become an intrinsic part of an integrated energy system, with significant investments in renewable hydrogen </w:t>
      </w:r>
      <w:proofErr w:type="spellStart"/>
      <w:r w:rsidRPr="003808F0">
        <w:rPr>
          <w:color w:val="44546A" w:themeColor="text2"/>
        </w:rPr>
        <w:t>electrolysers</w:t>
      </w:r>
      <w:proofErr w:type="spellEnd"/>
      <w:r w:rsidRPr="003808F0">
        <w:rPr>
          <w:color w:val="44546A" w:themeColor="text2"/>
        </w:rPr>
        <w:t xml:space="preserve"> and production. The development of hydrogen infrastructure, including pipelines, storage facilities, and terminals, are all essential to support large-scale deployment.</w:t>
      </w:r>
    </w:p>
    <w:p w14:paraId="7D52001F" w14:textId="1F2BB0D1" w:rsidR="003808F0" w:rsidRPr="003808F0" w:rsidRDefault="003808F0" w:rsidP="003808F0">
      <w:pPr>
        <w:jc w:val="both"/>
        <w:rPr>
          <w:color w:val="44546A" w:themeColor="text2"/>
        </w:rPr>
      </w:pPr>
      <w:r w:rsidRPr="003808F0">
        <w:rPr>
          <w:color w:val="44546A" w:themeColor="text2"/>
        </w:rPr>
        <w:t xml:space="preserve">There are also the economic benefits for the State in terms of </w:t>
      </w:r>
      <w:proofErr w:type="spellStart"/>
      <w:r w:rsidRPr="003808F0">
        <w:rPr>
          <w:color w:val="44546A" w:themeColor="text2"/>
        </w:rPr>
        <w:t>prioritising</w:t>
      </w:r>
      <w:proofErr w:type="spellEnd"/>
      <w:r w:rsidRPr="003808F0">
        <w:rPr>
          <w:color w:val="44546A" w:themeColor="text2"/>
        </w:rPr>
        <w:t xml:space="preserve"> a Hydrogen network. At the European level plans are afoot for a</w:t>
      </w:r>
      <w:r w:rsidR="00533105">
        <w:rPr>
          <w:color w:val="44546A" w:themeColor="text2"/>
        </w:rPr>
        <w:t>n expansive</w:t>
      </w:r>
      <w:r w:rsidRPr="003808F0">
        <w:rPr>
          <w:color w:val="44546A" w:themeColor="text2"/>
        </w:rPr>
        <w:t xml:space="preserve"> hydrogen network, including projects to expand or convert liquified natural gas (LNG) terminals to import hydrogen derivatives, and developing hydrogen gas pipelines and power capacity. Within this lies the potential for Ireland </w:t>
      </w:r>
      <w:r w:rsidRPr="003808F0">
        <w:rPr>
          <w:color w:val="44546A" w:themeColor="text2"/>
        </w:rPr>
        <w:lastRenderedPageBreak/>
        <w:t>to develop into a net exporter of renewable energy by using excess wind-derived electricity to support hydrogen production. However, one of the primary constraints on the industry is the poor delivery of renewable energy on to the national electricity network. Ambition for renewables of all types needs to be increased at the highest level and the capacity of the transmission network needs to be improved so that it is commensurate with our national potential.</w:t>
      </w:r>
    </w:p>
    <w:p w14:paraId="4DDBB187" w14:textId="77777777" w:rsidR="003808F0" w:rsidRPr="003808F0" w:rsidRDefault="003808F0" w:rsidP="003808F0">
      <w:pPr>
        <w:jc w:val="both"/>
        <w:rPr>
          <w:color w:val="44546A" w:themeColor="text2"/>
        </w:rPr>
      </w:pPr>
    </w:p>
    <w:p w14:paraId="0F35F54C" w14:textId="570A5A3C" w:rsidR="001D4C26" w:rsidRPr="00F93BFD" w:rsidRDefault="003808F0" w:rsidP="00533105">
      <w:pPr>
        <w:pStyle w:val="Heading2"/>
        <w:numPr>
          <w:ilvl w:val="0"/>
          <w:numId w:val="0"/>
        </w:numPr>
      </w:pPr>
      <w:bookmarkStart w:id="15" w:name="_Toc195283388"/>
      <w:bookmarkStart w:id="16" w:name="_Toc195616828"/>
      <w:bookmarkStart w:id="17" w:name="_Toc195616909"/>
      <w:r w:rsidRPr="001D4C26">
        <w:t>Do you agree with the assumptions GNI have used in their modelling (for example, treatment of biomethane, hydrogen and interconnection), and the presentation of supply and demand data?</w:t>
      </w:r>
      <w:bookmarkEnd w:id="15"/>
      <w:bookmarkEnd w:id="16"/>
      <w:bookmarkEnd w:id="17"/>
    </w:p>
    <w:p w14:paraId="733D084D" w14:textId="18FB2F5F" w:rsidR="003808F0" w:rsidRPr="003808F0" w:rsidRDefault="003808F0" w:rsidP="003808F0">
      <w:pPr>
        <w:jc w:val="both"/>
        <w:rPr>
          <w:color w:val="44546A" w:themeColor="text2"/>
        </w:rPr>
      </w:pPr>
      <w:r w:rsidRPr="003808F0">
        <w:rPr>
          <w:color w:val="44546A" w:themeColor="text2"/>
        </w:rPr>
        <w:t xml:space="preserve">Some targets included in the </w:t>
      </w:r>
      <w:r w:rsidR="00533105">
        <w:rPr>
          <w:color w:val="44546A" w:themeColor="text2"/>
        </w:rPr>
        <w:t>Ten</w:t>
      </w:r>
      <w:r w:rsidR="007E3E26">
        <w:rPr>
          <w:color w:val="44546A" w:themeColor="text2"/>
        </w:rPr>
        <w:t>-</w:t>
      </w:r>
      <w:r w:rsidR="00533105">
        <w:rPr>
          <w:color w:val="44546A" w:themeColor="text2"/>
        </w:rPr>
        <w:t>Year National Development Plan (</w:t>
      </w:r>
      <w:r w:rsidR="00566F8C">
        <w:rPr>
          <w:color w:val="44546A" w:themeColor="text2"/>
        </w:rPr>
        <w:t>TY</w:t>
      </w:r>
      <w:r w:rsidRPr="003808F0">
        <w:rPr>
          <w:color w:val="44546A" w:themeColor="text2"/>
        </w:rPr>
        <w:t>NDP</w:t>
      </w:r>
      <w:r w:rsidR="00533105">
        <w:rPr>
          <w:color w:val="44546A" w:themeColor="text2"/>
        </w:rPr>
        <w:t>)</w:t>
      </w:r>
      <w:r w:rsidRPr="003808F0">
        <w:rPr>
          <w:color w:val="44546A" w:themeColor="text2"/>
        </w:rPr>
        <w:t xml:space="preserve"> are seen as very ambitious and challenging to meet. Enabling GNI to meet those targets should be </w:t>
      </w:r>
      <w:proofErr w:type="gramStart"/>
      <w:r w:rsidRPr="003808F0">
        <w:rPr>
          <w:color w:val="44546A" w:themeColor="text2"/>
        </w:rPr>
        <w:t>front</w:t>
      </w:r>
      <w:proofErr w:type="gramEnd"/>
      <w:r w:rsidRPr="003808F0">
        <w:rPr>
          <w:color w:val="44546A" w:themeColor="text2"/>
        </w:rPr>
        <w:t xml:space="preserve"> and </w:t>
      </w:r>
      <w:proofErr w:type="spellStart"/>
      <w:r w:rsidRPr="003808F0">
        <w:rPr>
          <w:color w:val="44546A" w:themeColor="text2"/>
        </w:rPr>
        <w:t>centre</w:t>
      </w:r>
      <w:proofErr w:type="spellEnd"/>
      <w:r w:rsidRPr="003808F0">
        <w:rPr>
          <w:color w:val="44546A" w:themeColor="text2"/>
        </w:rPr>
        <w:t xml:space="preserve"> of any target-setting.</w:t>
      </w:r>
    </w:p>
    <w:p w14:paraId="5ED19D62" w14:textId="64119C08" w:rsidR="003808F0" w:rsidRPr="003808F0" w:rsidRDefault="003808F0" w:rsidP="003808F0">
      <w:pPr>
        <w:jc w:val="both"/>
        <w:rPr>
          <w:color w:val="44546A" w:themeColor="text2"/>
        </w:rPr>
      </w:pPr>
      <w:r w:rsidRPr="003808F0">
        <w:rPr>
          <w:color w:val="44546A" w:themeColor="text2"/>
        </w:rPr>
        <w:t xml:space="preserve">GNI has modeled three different scenarios in the </w:t>
      </w:r>
      <w:r w:rsidR="001D4446">
        <w:rPr>
          <w:color w:val="44546A" w:themeColor="text2"/>
        </w:rPr>
        <w:t>TY</w:t>
      </w:r>
      <w:r w:rsidRPr="003808F0">
        <w:rPr>
          <w:color w:val="44546A" w:themeColor="text2"/>
        </w:rPr>
        <w:t xml:space="preserve">NDP: Low Demand, High Demand, and a middle scenario. Each scenario includes different assumptions about the pace of electrification and </w:t>
      </w:r>
      <w:proofErr w:type="spellStart"/>
      <w:r w:rsidRPr="003808F0">
        <w:rPr>
          <w:color w:val="44546A" w:themeColor="text2"/>
        </w:rPr>
        <w:t>decarbonisation</w:t>
      </w:r>
      <w:proofErr w:type="spellEnd"/>
      <w:r w:rsidRPr="003808F0">
        <w:rPr>
          <w:color w:val="44546A" w:themeColor="text2"/>
        </w:rPr>
        <w:t xml:space="preserve">. The Low Demand scenario assumes high levels of gas </w:t>
      </w:r>
      <w:proofErr w:type="gramStart"/>
      <w:r w:rsidRPr="003808F0">
        <w:rPr>
          <w:color w:val="44546A" w:themeColor="text2"/>
        </w:rPr>
        <w:t>disconnections</w:t>
      </w:r>
      <w:proofErr w:type="gramEnd"/>
      <w:r w:rsidRPr="003808F0">
        <w:rPr>
          <w:color w:val="44546A" w:themeColor="text2"/>
        </w:rPr>
        <w:t xml:space="preserve">, while the High Demand scenario assumes slower progress in electrification and </w:t>
      </w:r>
      <w:proofErr w:type="spellStart"/>
      <w:r w:rsidRPr="003808F0">
        <w:rPr>
          <w:color w:val="44546A" w:themeColor="text2"/>
        </w:rPr>
        <w:t>decarbonisation</w:t>
      </w:r>
      <w:proofErr w:type="spellEnd"/>
      <w:r w:rsidRPr="003808F0">
        <w:rPr>
          <w:color w:val="44546A" w:themeColor="text2"/>
        </w:rPr>
        <w:t>.</w:t>
      </w:r>
    </w:p>
    <w:p w14:paraId="4D12DB30" w14:textId="499A19F5" w:rsidR="003808F0" w:rsidRPr="001321F1" w:rsidRDefault="003808F0" w:rsidP="001321F1">
      <w:pPr>
        <w:jc w:val="both"/>
        <w:rPr>
          <w:color w:val="44546A" w:themeColor="text2"/>
        </w:rPr>
      </w:pPr>
      <w:r w:rsidRPr="003808F0">
        <w:rPr>
          <w:color w:val="44546A" w:themeColor="text2"/>
        </w:rPr>
        <w:t>Current trade uncertainty</w:t>
      </w:r>
      <w:r w:rsidR="00533105">
        <w:rPr>
          <w:color w:val="44546A" w:themeColor="text2"/>
        </w:rPr>
        <w:t xml:space="preserve"> and unpredictability</w:t>
      </w:r>
      <w:r w:rsidRPr="003808F0">
        <w:rPr>
          <w:color w:val="44546A" w:themeColor="text2"/>
        </w:rPr>
        <w:t xml:space="preserve"> will have impacts on the supply and demand for natural gas. The imposition of tariffs and trade barriers can strain economic growth in </w:t>
      </w:r>
      <w:proofErr w:type="gramStart"/>
      <w:r w:rsidRPr="003808F0">
        <w:rPr>
          <w:color w:val="44546A" w:themeColor="text2"/>
        </w:rPr>
        <w:t>Europe</w:t>
      </w:r>
      <w:proofErr w:type="gramEnd"/>
      <w:r w:rsidRPr="003808F0">
        <w:rPr>
          <w:color w:val="44546A" w:themeColor="text2"/>
        </w:rPr>
        <w:t xml:space="preserve"> which affects the overall demand for natural gas. Higher costs and reduced market access can lead to a contraction in aggregate demand and output. Additionally, trade uncertainty can impact energy security by making it more challenging for Europe to secure stable and affordable natural gas supplies. This can lead to increased reliance on alternative energy sources and diversification of supply chains.</w:t>
      </w:r>
    </w:p>
    <w:p w14:paraId="5C1BFBDF" w14:textId="0D47F3B8" w:rsidR="003808F0" w:rsidRPr="00533105" w:rsidRDefault="003808F0" w:rsidP="00533105">
      <w:pPr>
        <w:pStyle w:val="Heading2"/>
        <w:numPr>
          <w:ilvl w:val="0"/>
          <w:numId w:val="0"/>
        </w:numPr>
      </w:pPr>
      <w:bookmarkStart w:id="18" w:name="_Toc195283389"/>
      <w:bookmarkStart w:id="19" w:name="_Toc195616829"/>
      <w:bookmarkStart w:id="20" w:name="_Toc195616910"/>
      <w:r w:rsidRPr="001D4C26">
        <w:rPr>
          <w:bCs/>
        </w:rPr>
        <w:lastRenderedPageBreak/>
        <w:t>Table 6-2 presents the annual large new industrial and commercial demand forecasts. Should there be further consideration given to the detail and presentation of industrial and commercial and large energy user demand in this report? How could recent developments in this sector (such as CRU’s Review of Large Energy Users Connection Policy 25) be accounted for in the TYNDP process?</w:t>
      </w:r>
      <w:bookmarkEnd w:id="18"/>
      <w:bookmarkEnd w:id="19"/>
      <w:bookmarkEnd w:id="20"/>
    </w:p>
    <w:p w14:paraId="7C82514E" w14:textId="4E71E5E5" w:rsidR="003808F0" w:rsidRPr="003808F0" w:rsidRDefault="003808F0" w:rsidP="003808F0">
      <w:pPr>
        <w:jc w:val="both"/>
        <w:rPr>
          <w:color w:val="44546A" w:themeColor="text2"/>
        </w:rPr>
      </w:pPr>
      <w:r w:rsidRPr="003808F0">
        <w:rPr>
          <w:color w:val="44546A" w:themeColor="text2"/>
        </w:rPr>
        <w:t>To account for the Commission for Regulation of Utilities (CRU)’s Review of Large Energy Users Connection Policy in the Ten-Year Network Development Plan (TYNDP) we should ensure that the TYNDP aligns with the objectives and recommendations outlined in the document. This includes addressing the needs and requirements of large energy users (LEUs) in terms of connection policies and infrastructure development. It would also include highlighting the necessary infrastructure investments to support the connection and integration of LEUs. This includes upgrading existing infrastructure and developing new facilities to accommodate the increased demand from LEUs and addressing the security of supply concerns of LEUs.</w:t>
      </w:r>
    </w:p>
    <w:p w14:paraId="0A7B4013" w14:textId="62223AD4" w:rsidR="003808F0" w:rsidRPr="003808F0" w:rsidRDefault="003808F0" w:rsidP="003808F0">
      <w:pPr>
        <w:jc w:val="both"/>
        <w:rPr>
          <w:color w:val="44546A" w:themeColor="text2"/>
        </w:rPr>
      </w:pPr>
      <w:r w:rsidRPr="003808F0">
        <w:rPr>
          <w:color w:val="44546A" w:themeColor="text2"/>
        </w:rPr>
        <w:t>We should ensure that the gas network can reliably meet the energy demands of large users, particularly during peak periods.</w:t>
      </w:r>
      <w:r w:rsidR="008523E2">
        <w:rPr>
          <w:color w:val="44546A" w:themeColor="text2"/>
        </w:rPr>
        <w:t xml:space="preserve"> </w:t>
      </w:r>
      <w:r w:rsidRPr="003808F0">
        <w:rPr>
          <w:color w:val="44546A" w:themeColor="text2"/>
        </w:rPr>
        <w:t xml:space="preserve">Strategies should be incorporated to support the </w:t>
      </w:r>
      <w:proofErr w:type="spellStart"/>
      <w:r w:rsidRPr="003808F0">
        <w:rPr>
          <w:color w:val="44546A" w:themeColor="text2"/>
        </w:rPr>
        <w:t>decarbonisation</w:t>
      </w:r>
      <w:proofErr w:type="spellEnd"/>
      <w:r w:rsidRPr="003808F0">
        <w:rPr>
          <w:color w:val="44546A" w:themeColor="text2"/>
        </w:rPr>
        <w:t xml:space="preserve"> of the energy sector, including the integration of renewable energy sources such as </w:t>
      </w:r>
      <w:r w:rsidR="008523E2">
        <w:rPr>
          <w:color w:val="44546A" w:themeColor="text2"/>
        </w:rPr>
        <w:t>B</w:t>
      </w:r>
      <w:r w:rsidRPr="003808F0">
        <w:rPr>
          <w:color w:val="44546A" w:themeColor="text2"/>
        </w:rPr>
        <w:t xml:space="preserve">iomethane and </w:t>
      </w:r>
      <w:r w:rsidR="008523E2">
        <w:rPr>
          <w:color w:val="44546A" w:themeColor="text2"/>
        </w:rPr>
        <w:t>G</w:t>
      </w:r>
      <w:r w:rsidRPr="003808F0">
        <w:rPr>
          <w:color w:val="44546A" w:themeColor="text2"/>
        </w:rPr>
        <w:t xml:space="preserve">reen </w:t>
      </w:r>
      <w:r w:rsidR="008523E2">
        <w:rPr>
          <w:color w:val="44546A" w:themeColor="text2"/>
        </w:rPr>
        <w:t>H</w:t>
      </w:r>
      <w:r w:rsidRPr="003808F0">
        <w:rPr>
          <w:color w:val="44546A" w:themeColor="text2"/>
        </w:rPr>
        <w:t>ydrogen. This aligns with the broader goals of reducing carbon emissions and promoting sustainability.</w:t>
      </w:r>
    </w:p>
    <w:p w14:paraId="19AF0CFC" w14:textId="3555E089" w:rsidR="00023A71" w:rsidRPr="006840B6" w:rsidRDefault="003808F0" w:rsidP="003808F0">
      <w:pPr>
        <w:jc w:val="both"/>
        <w:rPr>
          <w:color w:val="44546A" w:themeColor="text2"/>
        </w:rPr>
      </w:pPr>
      <w:r w:rsidRPr="003808F0">
        <w:rPr>
          <w:color w:val="44546A" w:themeColor="text2"/>
        </w:rPr>
        <w:t xml:space="preserve">Demand flexibility and energy efficiency for LEUs should also be considered. This includes promoting measures that encourage LEUs in </w:t>
      </w:r>
      <w:proofErr w:type="spellStart"/>
      <w:r w:rsidRPr="003808F0">
        <w:rPr>
          <w:color w:val="44546A" w:themeColor="text2"/>
        </w:rPr>
        <w:t>optimising</w:t>
      </w:r>
      <w:proofErr w:type="spellEnd"/>
      <w:r w:rsidRPr="003808F0">
        <w:rPr>
          <w:color w:val="44546A" w:themeColor="text2"/>
        </w:rPr>
        <w:t xml:space="preserve"> their energy usage and reducing peak demand.  Update the modeling and forecasts in the TYNDP to reflect the anticipated impact of the connection policies for LEUs. This includes adjusting demand projections and infrastructure requirements based on the expected growth and energy usage patterns of LEUs.</w:t>
      </w:r>
    </w:p>
    <w:p w14:paraId="5786DA40" w14:textId="3BFF844D" w:rsidR="00023A71" w:rsidRPr="006840B6" w:rsidRDefault="00023A71">
      <w:pPr>
        <w:spacing w:line="259" w:lineRule="auto"/>
        <w:rPr>
          <w:color w:val="44546A" w:themeColor="text2"/>
        </w:rPr>
      </w:pPr>
      <w:r w:rsidRPr="006840B6">
        <w:rPr>
          <w:color w:val="44546A" w:themeColor="text2"/>
        </w:rPr>
        <w:br w:type="page"/>
      </w:r>
    </w:p>
    <w:p w14:paraId="3ECF05EF" w14:textId="56BB11E9" w:rsidR="00723C74" w:rsidRPr="003A6078" w:rsidRDefault="00487F52" w:rsidP="00487F52">
      <w:pPr>
        <w:pStyle w:val="Heading1"/>
        <w:numPr>
          <w:ilvl w:val="0"/>
          <w:numId w:val="0"/>
        </w:numPr>
      </w:pPr>
      <w:bookmarkStart w:id="21" w:name="_Toc195616911"/>
      <w:r w:rsidRPr="003A6078">
        <w:lastRenderedPageBreak/>
        <w:t>Summary</w:t>
      </w:r>
      <w:bookmarkEnd w:id="21"/>
    </w:p>
    <w:p w14:paraId="71084D06" w14:textId="5DE4DC13" w:rsidR="00723C74" w:rsidRPr="003A6078" w:rsidRDefault="00556589" w:rsidP="00723C74">
      <w:pPr>
        <w:jc w:val="both"/>
        <w:rPr>
          <w:color w:val="44546A" w:themeColor="text2"/>
        </w:rPr>
      </w:pPr>
      <w:r w:rsidRPr="003A6078">
        <w:rPr>
          <w:color w:val="44546A" w:themeColor="text2"/>
        </w:rPr>
        <w:t xml:space="preserve">Achieving climate targets requires coordinated action and a clear roadmap for all stakeholders across both public and private sectors. Previous Climate Action Plans have been instrumental but have not resulted in adequate progress. The </w:t>
      </w:r>
      <w:proofErr w:type="gramStart"/>
      <w:r w:rsidRPr="003A6078">
        <w:rPr>
          <w:color w:val="44546A" w:themeColor="text2"/>
        </w:rPr>
        <w:t>ultimate goal</w:t>
      </w:r>
      <w:proofErr w:type="gramEnd"/>
      <w:r w:rsidRPr="003A6078">
        <w:rPr>
          <w:color w:val="44546A" w:themeColor="text2"/>
        </w:rPr>
        <w:t xml:space="preserve"> is to transition to a climate-resilient, biodiversity-rich, environmentally sustainable, and climate-neutral economy by 2050. Ireland </w:t>
      </w:r>
      <w:proofErr w:type="gramStart"/>
      <w:r w:rsidRPr="003A6078">
        <w:rPr>
          <w:color w:val="44546A" w:themeColor="text2"/>
        </w:rPr>
        <w:t>lags behind</w:t>
      </w:r>
      <w:proofErr w:type="gramEnd"/>
      <w:r w:rsidRPr="003A6078">
        <w:rPr>
          <w:color w:val="44546A" w:themeColor="text2"/>
        </w:rPr>
        <w:t xml:space="preserve"> its EU peers in reducing CO2 emissions due to inconsistent action in advancing infrastructure, underinvestment, planning issues, and regulatory uncertainty. </w:t>
      </w:r>
    </w:p>
    <w:p w14:paraId="03EF648D" w14:textId="03858B11" w:rsidR="00023A71" w:rsidRPr="003A6078" w:rsidRDefault="00556589" w:rsidP="0090086A">
      <w:pPr>
        <w:jc w:val="both"/>
        <w:rPr>
          <w:color w:val="44546A" w:themeColor="text2"/>
        </w:rPr>
      </w:pPr>
      <w:r w:rsidRPr="003A6078">
        <w:rPr>
          <w:color w:val="44546A" w:themeColor="text2"/>
        </w:rPr>
        <w:t xml:space="preserve">Substantial investment is needed for developing renewables like Biomethane and Hydrogen. Grants and financial incentives are crucial for stimulating growth in the biomethane sector. The government has allocated €40 million in capital grants for biomethane development, but higher levels of support will be needed. Chambers Ireland advocates for further development of Hydrogen as part of the national and EU Hydrogen Strategies. Significant investments in renewable hydrogen </w:t>
      </w:r>
      <w:proofErr w:type="spellStart"/>
      <w:r w:rsidRPr="003A6078">
        <w:rPr>
          <w:color w:val="44546A" w:themeColor="text2"/>
        </w:rPr>
        <w:t>electrolysers</w:t>
      </w:r>
      <w:proofErr w:type="spellEnd"/>
      <w:r w:rsidRPr="003A6078">
        <w:rPr>
          <w:color w:val="44546A" w:themeColor="text2"/>
        </w:rPr>
        <w:t xml:space="preserve"> and infrastructure are </w:t>
      </w:r>
      <w:r w:rsidR="005D7FDF" w:rsidRPr="003A6078">
        <w:rPr>
          <w:color w:val="44546A" w:themeColor="text2"/>
        </w:rPr>
        <w:t xml:space="preserve">also </w:t>
      </w:r>
      <w:r w:rsidRPr="003A6078">
        <w:rPr>
          <w:color w:val="44546A" w:themeColor="text2"/>
        </w:rPr>
        <w:t xml:space="preserve">required. </w:t>
      </w:r>
    </w:p>
    <w:p w14:paraId="04228F38" w14:textId="1CD5B2EF" w:rsidR="00556589" w:rsidRPr="007E3E26" w:rsidRDefault="00556589" w:rsidP="0090086A">
      <w:pPr>
        <w:jc w:val="both"/>
        <w:rPr>
          <w:color w:val="44546A" w:themeColor="text2"/>
        </w:rPr>
      </w:pPr>
      <w:r w:rsidRPr="003A6078">
        <w:rPr>
          <w:color w:val="44546A" w:themeColor="text2"/>
        </w:rPr>
        <w:t xml:space="preserve">We </w:t>
      </w:r>
      <w:r w:rsidR="008E6D0F" w:rsidRPr="003A6078">
        <w:rPr>
          <w:color w:val="44546A" w:themeColor="text2"/>
        </w:rPr>
        <w:t>must also</w:t>
      </w:r>
      <w:r w:rsidRPr="003A6078">
        <w:rPr>
          <w:color w:val="44546A" w:themeColor="text2"/>
        </w:rPr>
        <w:t xml:space="preserve"> ensure that I</w:t>
      </w:r>
      <w:r w:rsidR="007E3E26" w:rsidRPr="003A6078">
        <w:rPr>
          <w:color w:val="44546A" w:themeColor="text2"/>
        </w:rPr>
        <w:t xml:space="preserve">reland </w:t>
      </w:r>
      <w:r w:rsidR="00FB422F" w:rsidRPr="003A6078">
        <w:rPr>
          <w:color w:val="44546A" w:themeColor="text2"/>
        </w:rPr>
        <w:t>remains fully</w:t>
      </w:r>
      <w:r w:rsidR="007E3E26" w:rsidRPr="003A6078">
        <w:rPr>
          <w:color w:val="44546A" w:themeColor="text2"/>
        </w:rPr>
        <w:t xml:space="preserve"> attuned </w:t>
      </w:r>
      <w:r w:rsidR="00FB422F" w:rsidRPr="003A6078">
        <w:rPr>
          <w:color w:val="44546A" w:themeColor="text2"/>
        </w:rPr>
        <w:t xml:space="preserve">and open </w:t>
      </w:r>
      <w:r w:rsidR="007E3E26" w:rsidRPr="003A6078">
        <w:rPr>
          <w:color w:val="44546A" w:themeColor="text2"/>
        </w:rPr>
        <w:t>to</w:t>
      </w:r>
      <w:r w:rsidR="00EA76F9" w:rsidRPr="003A6078">
        <w:rPr>
          <w:color w:val="44546A" w:themeColor="text2"/>
        </w:rPr>
        <w:t xml:space="preserve"> improved techno</w:t>
      </w:r>
      <w:r w:rsidR="004A627A" w:rsidRPr="003A6078">
        <w:rPr>
          <w:color w:val="44546A" w:themeColor="text2"/>
        </w:rPr>
        <w:t>logy,</w:t>
      </w:r>
      <w:r w:rsidR="007E3E26" w:rsidRPr="003A6078">
        <w:rPr>
          <w:color w:val="44546A" w:themeColor="text2"/>
        </w:rPr>
        <w:t xml:space="preserve"> new developments and innovations in the field of </w:t>
      </w:r>
      <w:r w:rsidR="00FB422F" w:rsidRPr="003A6078">
        <w:rPr>
          <w:color w:val="44546A" w:themeColor="text2"/>
        </w:rPr>
        <w:t>energy generation</w:t>
      </w:r>
      <w:r w:rsidR="007E3E26" w:rsidRPr="003A6078">
        <w:rPr>
          <w:color w:val="44546A" w:themeColor="text2"/>
        </w:rPr>
        <w:t xml:space="preserve">. </w:t>
      </w:r>
    </w:p>
    <w:sectPr w:rsidR="00556589" w:rsidRPr="007E3E26" w:rsidSect="00706BB1">
      <w:headerReference w:type="default" r:id="rId13"/>
      <w:footerReference w:type="default" r:id="rId14"/>
      <w:pgSz w:w="12240" w:h="15840"/>
      <w:pgMar w:top="1440" w:right="1080" w:bottom="1440" w:left="1080" w:header="113"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1710" w14:textId="77777777" w:rsidR="008319B1" w:rsidRDefault="008319B1" w:rsidP="008B6497">
      <w:r>
        <w:separator/>
      </w:r>
    </w:p>
  </w:endnote>
  <w:endnote w:type="continuationSeparator" w:id="0">
    <w:p w14:paraId="340F0EB6" w14:textId="77777777" w:rsidR="008319B1" w:rsidRDefault="008319B1" w:rsidP="008B6497">
      <w:r>
        <w:continuationSeparator/>
      </w:r>
    </w:p>
  </w:endnote>
  <w:endnote w:type="continuationNotice" w:id="1">
    <w:p w14:paraId="591FD0DC" w14:textId="77777777" w:rsidR="008319B1" w:rsidRDefault="00831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TFQY Z+ St Ry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EB4" w14:textId="095E0E20" w:rsidR="004C0FD4" w:rsidRPr="00741484" w:rsidRDefault="003C4F91" w:rsidP="008B6497">
    <w:pPr>
      <w:pStyle w:val="Footer"/>
      <w:rPr>
        <w:rFonts w:cs="Arial"/>
        <w:sz w:val="14"/>
        <w:szCs w:val="14"/>
      </w:rPr>
    </w:pPr>
    <w:r>
      <w:rPr>
        <w:noProof/>
      </w:rPr>
      <mc:AlternateContent>
        <mc:Choice Requires="wps">
          <w:drawing>
            <wp:anchor distT="0" distB="0" distL="114300" distR="114300" simplePos="0" relativeHeight="251658241" behindDoc="0" locked="0" layoutInCell="1" allowOverlap="1" wp14:anchorId="3A1465B1" wp14:editId="7A64D576">
              <wp:simplePos x="0" y="0"/>
              <wp:positionH relativeFrom="margin">
                <wp:align>right</wp:align>
              </wp:positionH>
              <wp:positionV relativeFrom="paragraph">
                <wp:posOffset>-76835</wp:posOffset>
              </wp:positionV>
              <wp:extent cx="6534150" cy="476250"/>
              <wp:effectExtent l="0" t="0" r="0" b="0"/>
              <wp:wrapNone/>
              <wp:docPr id="856086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476250"/>
                      </a:xfrm>
                      <a:prstGeom prst="rect">
                        <a:avLst/>
                      </a:prstGeom>
                      <a:noFill/>
                      <a:ln w="6350">
                        <a:noFill/>
                      </a:ln>
                    </wps:spPr>
                    <wps:txbx>
                      <w:txbxContent>
                        <w:p w14:paraId="566A6272" w14:textId="77E3EEB9" w:rsidR="004C0FD4" w:rsidRPr="00F84A08" w:rsidRDefault="0087595C" w:rsidP="00D67F2A">
                          <w:pPr>
                            <w:spacing w:line="240" w:lineRule="auto"/>
                            <w:rPr>
                              <w:b/>
                              <w:bCs/>
                              <w:color w:val="FFFFFF" w:themeColor="background1"/>
                              <w:sz w:val="16"/>
                              <w:szCs w:val="16"/>
                            </w:rPr>
                          </w:pPr>
                          <w:r>
                            <w:rPr>
                              <w:b/>
                              <w:bCs/>
                              <w:color w:val="FFFFFF" w:themeColor="background1"/>
                              <w:sz w:val="16"/>
                              <w:szCs w:val="16"/>
                            </w:rPr>
                            <w:t>C</w:t>
                          </w:r>
                          <w:r w:rsidR="002A5C86">
                            <w:rPr>
                              <w:b/>
                              <w:bCs/>
                              <w:color w:val="FFFFFF" w:themeColor="background1"/>
                              <w:sz w:val="16"/>
                              <w:szCs w:val="16"/>
                            </w:rPr>
                            <w:t>RU Consultation on</w:t>
                          </w:r>
                          <w:r>
                            <w:rPr>
                              <w:b/>
                              <w:bCs/>
                              <w:color w:val="FFFFFF" w:themeColor="background1"/>
                              <w:sz w:val="16"/>
                              <w:szCs w:val="16"/>
                            </w:rPr>
                            <w:t xml:space="preserve"> Gas Networks Ireland Ten</w:t>
                          </w:r>
                          <w:r w:rsidR="00C24E3C">
                            <w:rPr>
                              <w:b/>
                              <w:bCs/>
                              <w:color w:val="FFFFFF" w:themeColor="background1"/>
                              <w:sz w:val="16"/>
                              <w:szCs w:val="16"/>
                            </w:rPr>
                            <w:t xml:space="preserve"> </w:t>
                          </w:r>
                          <w:r>
                            <w:rPr>
                              <w:b/>
                              <w:bCs/>
                              <w:color w:val="FFFFFF" w:themeColor="background1"/>
                              <w:sz w:val="16"/>
                              <w:szCs w:val="16"/>
                            </w:rPr>
                            <w:t>Year National Development Plan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465B1" id="_x0000_t202" coordsize="21600,21600" o:spt="202" path="m,l,21600r21600,l21600,xe">
              <v:stroke joinstyle="miter"/>
              <v:path gradientshapeok="t" o:connecttype="rect"/>
            </v:shapetype>
            <v:shape id="Text Box 3" o:spid="_x0000_s1026" type="#_x0000_t202" style="position:absolute;margin-left:463.3pt;margin-top:-6.05pt;width:514.5pt;height:3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aIAIAAEUEAAAOAAAAZHJzL2Uyb0RvYy54bWysU02P2jAQvVfqf7B8LwEW2DYirOiuqCqh&#10;3ZXYas/GsUlU2+PahoT++o6d8NFtT1Uvzjgzno/33szvWq3IQThfgynoaDCkRBgOZW12Bf32svrw&#10;kRIfmCmZAiMKehSe3i3ev5s3NhdjqECVwhFMYnze2IJWIdg8yzyvhGZ+AFYYdEpwmgW8ul1WOtZg&#10;dq2y8XA4yxpwpXXAhff496Fz0kXKL6Xg4UlKLwJRBcXeQjpdOrfxzBZzlu8cs1XN+zbYP3ShWW2w&#10;6DnVAwuM7F39RypdcwceZBhw0BlIWXORZsBpRsM302wqZkWaBcHx9gyT/39p+eNhY58dCe1naJHA&#10;NIS3a+DfPWKTNdbnfUzE1Oceo+OgrXQ6fnEEgg8R2+MZT9EGwvHnbHozGU3RxdE3uZ2N0Y5JL6+t&#10;8+GLAE2iUVCHfKUO2GHtQxd6ConFDKxqpRJnypAGK9xgyt88mFyZvvGu19h1aLctPovmFsojDuyg&#10;04K3fFVj8TXz4Zk5JB/7RUGHJzykAiwCvUVJBe7n3/7HeOQEvZQ0KKaC+h975gQl6qtBtj6NJpOo&#10;vnSZTG/HeHHXnu21x+z1PaBeR7g6liczxgd1MqUD/Yq6X8aq6GKGY+2ChpN5HzqJ495wsVymINSb&#10;ZWFtNpafeI7QvrSvzNke/4DMPcJJdix/Q0MX28G93AeQdeLogmqPO2o1sdzvVVyG63uKumz/4hcA&#10;AAD//wMAUEsDBBQABgAIAAAAIQDCaPh+3wAAAAgBAAAPAAAAZHJzL2Rvd25yZXYueG1sTI/BTsMw&#10;EETvSPyDtUjcWieRqNqQTVVFqpAQHFp64baJ3STCXofYbQNfj3uix9lZzbwp1pM14qxH3ztGSOcJ&#10;CM2NUz23CIeP7WwJwgdiRcaxRvjRHtbl/V1BuXIX3unzPrQihrDPCaELYcil9E2nLfm5GzRH7+hG&#10;SyHKsZVqpEsMt0ZmSbKQlnqODR0Nuup087U/WYTXavtOuzqzy19TvbwdN8P34fMJ8fFh2jyDCHoK&#10;/89wxY/oUEam2p1YeWEQ4pCAMEuzFMTVTrJVPNUIi2wFsizk7YDyDwAA//8DAFBLAQItABQABgAI&#10;AAAAIQC2gziS/gAAAOEBAAATAAAAAAAAAAAAAAAAAAAAAABbQ29udGVudF9UeXBlc10ueG1sUEsB&#10;Ai0AFAAGAAgAAAAhADj9If/WAAAAlAEAAAsAAAAAAAAAAAAAAAAALwEAAF9yZWxzLy5yZWxzUEsB&#10;Ai0AFAAGAAgAAAAhAEwlD9ogAgAARQQAAA4AAAAAAAAAAAAAAAAALgIAAGRycy9lMm9Eb2MueG1s&#10;UEsBAi0AFAAGAAgAAAAhAMJo+H7fAAAACAEAAA8AAAAAAAAAAAAAAAAAegQAAGRycy9kb3ducmV2&#10;LnhtbFBLBQYAAAAABAAEAPMAAACGBQAAAAA=&#10;" filled="f" stroked="f" strokeweight=".5pt">
              <v:textbox>
                <w:txbxContent>
                  <w:p w14:paraId="566A6272" w14:textId="77E3EEB9" w:rsidR="004C0FD4" w:rsidRPr="00F84A08" w:rsidRDefault="0087595C" w:rsidP="00D67F2A">
                    <w:pPr>
                      <w:spacing w:line="240" w:lineRule="auto"/>
                      <w:rPr>
                        <w:b/>
                        <w:bCs/>
                        <w:color w:val="FFFFFF" w:themeColor="background1"/>
                        <w:sz w:val="16"/>
                        <w:szCs w:val="16"/>
                      </w:rPr>
                    </w:pPr>
                    <w:r>
                      <w:rPr>
                        <w:b/>
                        <w:bCs/>
                        <w:color w:val="FFFFFF" w:themeColor="background1"/>
                        <w:sz w:val="16"/>
                        <w:szCs w:val="16"/>
                      </w:rPr>
                      <w:t>C</w:t>
                    </w:r>
                    <w:r w:rsidR="002A5C86">
                      <w:rPr>
                        <w:b/>
                        <w:bCs/>
                        <w:color w:val="FFFFFF" w:themeColor="background1"/>
                        <w:sz w:val="16"/>
                        <w:szCs w:val="16"/>
                      </w:rPr>
                      <w:t>RU Consultation on</w:t>
                    </w:r>
                    <w:r>
                      <w:rPr>
                        <w:b/>
                        <w:bCs/>
                        <w:color w:val="FFFFFF" w:themeColor="background1"/>
                        <w:sz w:val="16"/>
                        <w:szCs w:val="16"/>
                      </w:rPr>
                      <w:t xml:space="preserve"> Gas Networks Ireland Ten</w:t>
                    </w:r>
                    <w:r w:rsidR="00C24E3C">
                      <w:rPr>
                        <w:b/>
                        <w:bCs/>
                        <w:color w:val="FFFFFF" w:themeColor="background1"/>
                        <w:sz w:val="16"/>
                        <w:szCs w:val="16"/>
                      </w:rPr>
                      <w:t xml:space="preserve"> </w:t>
                    </w:r>
                    <w:r>
                      <w:rPr>
                        <w:b/>
                        <w:bCs/>
                        <w:color w:val="FFFFFF" w:themeColor="background1"/>
                        <w:sz w:val="16"/>
                        <w:szCs w:val="16"/>
                      </w:rPr>
                      <w:t>Year National Development Plan 2024</w:t>
                    </w:r>
                  </w:p>
                </w:txbxContent>
              </v:textbox>
              <w10:wrap anchorx="margin"/>
            </v:shape>
          </w:pict>
        </mc:Fallback>
      </mc:AlternateContent>
    </w:r>
    <w:r>
      <w:rPr>
        <w:noProof/>
      </w:rPr>
      <mc:AlternateContent>
        <mc:Choice Requires="wps">
          <w:drawing>
            <wp:anchor distT="182880" distB="182880" distL="114300" distR="114300" simplePos="0" relativeHeight="251658240" behindDoc="0" locked="0" layoutInCell="1" allowOverlap="0" wp14:anchorId="5B273C8E" wp14:editId="375ADD58">
              <wp:simplePos x="0" y="0"/>
              <wp:positionH relativeFrom="page">
                <wp:align>right</wp:align>
              </wp:positionH>
              <wp:positionV relativeFrom="page">
                <wp:posOffset>9461500</wp:posOffset>
              </wp:positionV>
              <wp:extent cx="8255000" cy="390525"/>
              <wp:effectExtent l="0" t="0" r="0" b="0"/>
              <wp:wrapTopAndBottom/>
              <wp:docPr id="1262845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0" cy="390525"/>
                      </a:xfrm>
                      <a:prstGeom prst="rect">
                        <a:avLst/>
                      </a:prstGeom>
                      <a:solidFill>
                        <a:srgbClr val="0D3E76"/>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259"/>
                            <w:gridCol w:w="12081"/>
                            <w:gridCol w:w="650"/>
                          </w:tblGrid>
                          <w:tr w:rsidR="004C0FD4" w:rsidRPr="00CD6084" w14:paraId="36C7F0C1" w14:textId="77777777" w:rsidTr="004C0FD4">
                            <w:trPr>
                              <w:trHeight w:hRule="exact" w:val="360"/>
                            </w:trPr>
                            <w:tc>
                              <w:tcPr>
                                <w:tcW w:w="100" w:type="pct"/>
                                <w:shd w:val="clear" w:color="auto" w:fill="4472C4" w:themeFill="accent1"/>
                                <w:vAlign w:val="center"/>
                              </w:tcPr>
                              <w:p w14:paraId="5F0EE711" w14:textId="77777777" w:rsidR="004C0FD4" w:rsidRPr="00CD6084" w:rsidRDefault="004C0FD4" w:rsidP="008B6497">
                                <w:pPr>
                                  <w:pStyle w:val="Footer"/>
                                </w:pPr>
                              </w:p>
                            </w:tc>
                            <w:tc>
                              <w:tcPr>
                                <w:tcW w:w="4650" w:type="pct"/>
                                <w:shd w:val="clear" w:color="auto" w:fill="0D3E76"/>
                                <w:vAlign w:val="center"/>
                              </w:tcPr>
                              <w:p w14:paraId="59C368B1" w14:textId="77777777" w:rsidR="004C0FD4" w:rsidRPr="00CD6084" w:rsidRDefault="004C0FD4" w:rsidP="008B6497">
                                <w:pPr>
                                  <w:pStyle w:val="Footer"/>
                                </w:pPr>
                              </w:p>
                              <w:p w14:paraId="38942F42" w14:textId="77777777" w:rsidR="004C0FD4" w:rsidRPr="00CD6084" w:rsidRDefault="004C0FD4" w:rsidP="008B6497">
                                <w:pPr>
                                  <w:pStyle w:val="Footer"/>
                                </w:pPr>
                              </w:p>
                            </w:tc>
                            <w:tc>
                              <w:tcPr>
                                <w:tcW w:w="250" w:type="pct"/>
                                <w:shd w:val="clear" w:color="auto" w:fill="0D3E76"/>
                                <w:vAlign w:val="center"/>
                              </w:tcPr>
                              <w:p w14:paraId="27E5D277" w14:textId="77777777" w:rsidR="004C0FD4" w:rsidRPr="00C369F3" w:rsidRDefault="00CD673B" w:rsidP="008B6497">
                                <w:pPr>
                                  <w:pStyle w:val="Footer"/>
                                  <w:rPr>
                                    <w:color w:val="FFFFFF" w:themeColor="background1"/>
                                  </w:rPr>
                                </w:pPr>
                                <w:r w:rsidRPr="00C369F3">
                                  <w:rPr>
                                    <w:color w:val="FFFFFF" w:themeColor="background1"/>
                                  </w:rPr>
                                  <w:fldChar w:fldCharType="begin"/>
                                </w:r>
                                <w:r w:rsidRPr="00C369F3">
                                  <w:rPr>
                                    <w:color w:val="FFFFFF" w:themeColor="background1"/>
                                  </w:rPr>
                                  <w:instrText xml:space="preserve"> PAGE   \* MERGEFORMAT </w:instrText>
                                </w:r>
                                <w:r w:rsidRPr="00C369F3">
                                  <w:rPr>
                                    <w:color w:val="FFFFFF" w:themeColor="background1"/>
                                  </w:rPr>
                                  <w:fldChar w:fldCharType="separate"/>
                                </w:r>
                                <w:r w:rsidRPr="00C369F3">
                                  <w:rPr>
                                    <w:noProof/>
                                    <w:color w:val="FFFFFF" w:themeColor="background1"/>
                                  </w:rPr>
                                  <w:t>2</w:t>
                                </w:r>
                                <w:r w:rsidRPr="00C369F3">
                                  <w:rPr>
                                    <w:noProof/>
                                    <w:color w:val="FFFFFF" w:themeColor="background1"/>
                                  </w:rPr>
                                  <w:fldChar w:fldCharType="end"/>
                                </w:r>
                              </w:p>
                            </w:tc>
                          </w:tr>
                        </w:tbl>
                        <w:p w14:paraId="2F6BE791" w14:textId="77777777" w:rsidR="004C0FD4" w:rsidRPr="00CD6084" w:rsidRDefault="00CD673B">
                          <w:pPr>
                            <w:pStyle w:val="NoSpacing"/>
                            <w:rPr>
                              <w:rFonts w:ascii="Lato" w:hAnsi="Lato"/>
                              <w:sz w:val="20"/>
                              <w:szCs w:val="20"/>
                            </w:rPr>
                          </w:pPr>
                          <w:proofErr w:type="spellStart"/>
                          <w:r w:rsidRPr="00CD6084">
                            <w:rPr>
                              <w:rFonts w:ascii="Lato" w:hAnsi="Lato"/>
                              <w:sz w:val="20"/>
                              <w:szCs w:val="20"/>
                            </w:rPr>
                            <w:t>hhh</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73C8E" id="Text Box 1" o:spid="_x0000_s1027" type="#_x0000_t202" style="position:absolute;margin-left:598.8pt;margin-top:745pt;width:650pt;height:30.75pt;z-index:251658240;visibility:visible;mso-wrap-style:square;mso-width-percent:0;mso-height-percent:0;mso-wrap-distance-left:9pt;mso-wrap-distance-top:14.4pt;mso-wrap-distance-right:9pt;mso-wrap-distance-bottom:14.4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gQIAAHYFAAAOAAAAZHJzL2Uyb0RvYy54bWysVFtv0zAUfkfiP1h+Z0k7dUC0dCobQ0jV&#10;NrGhPbuO3UZzfMyx26T8eo6dpGWDlyFenBP7O7fvXM4vusawnUJfgy355CTnTFkJVW3XJf/+cP3u&#10;A2c+CFsJA1aVfK88v5i/fXPeukJNYQOmUsjIiPVF60q+CcEVWeblRjXCn4BTlh41YCMC/eI6q1C0&#10;ZL0x2TTPz7IWsHIIUnlPt1f9I58n+1orGW619iowU3KKLaQT07mKZzY/F8UahdvUcghD/EMUjagt&#10;OT2YuhJBsC3Wf5hqaongQYcTCU0GWtdSpRwom0n+Ipv7jXAq5ULkeHegyf8/s/Jmd+/ukIXuE3RU&#10;wJSEd0uQT564yVrniwETOfWFJ3RMtNPYxC+lwEiRuN0f+FRdYJIuP0xnszynJ0lvpx/z2XQWCc+O&#10;2g59+KKgYVEoOVK9UgRit/Shh46Q6MyDqavr2pj0g+vVpUG2E7G2V6ef358N1p/BjGVtyc9OZ3my&#10;bCHq96aNjXZUapPB3zHFJIW9URFj7DelWV2lTJPz2KDq4F5IqWyYDP4TOqI0uXqN4oA/RvUa5T4P&#10;0kiewYaDclNbwL6yz8OunsaQdY8fKu77vCMFoVt1lHhsDSIt3qyg2lPHIPTD5J28rql6S+HDnUCa&#10;Hio4bYRwS4c2QOTDIHG2Afz5t/uIp6amV85amsaS+x9bgYoz89VSu8fRHQUchdUo2G1zCdQEE9o1&#10;TiaRFDCYUdQIzSMtikX0Qk/CSvJV8jCKl6HfCbRopFosEogG1ImwtPdOjoMRe/GhexTohoYN1Oo3&#10;MM6pKF70bY+N9bCw2AbQdWrqI4sD3zTcaSyGRRS3x+//CXVcl/NfAAAA//8DAFBLAwQUAAYACAAA&#10;ACEAAK1Tyd8AAAALAQAADwAAAGRycy9kb3ducmV2LnhtbEyPQU/DMAyF70j8h8hI3FiyQWGUphNM&#10;QoILaAWkHbPGtNUap2rStfx73BPcnv2s5+9lm8m14oR9aDxpWC4UCKTS24YqDZ8fz1drECEasqb1&#10;hBp+MMAmPz/LTGr9SDs8FbESHEIhNRrqGLtUylDW6ExY+A6JvW/fOxN57CtpezNyuGvlSqlb6UxD&#10;/KE2HW5rLI/F4DQ8vY3bu718rdbd+0sx4M5/HVd7rS8vpscHEBGn+HcMMz6jQ85MBz+QDaLVwEUi&#10;b2/uFavZv1azOrBKkmUCMs/k/w75LwAAAP//AwBQSwECLQAUAAYACAAAACEAtoM4kv4AAADhAQAA&#10;EwAAAAAAAAAAAAAAAAAAAAAAW0NvbnRlbnRfVHlwZXNdLnhtbFBLAQItABQABgAIAAAAIQA4/SH/&#10;1gAAAJQBAAALAAAAAAAAAAAAAAAAAC8BAABfcmVscy8ucmVsc1BLAQItABQABgAIAAAAIQA+Go/j&#10;gQIAAHYFAAAOAAAAAAAAAAAAAAAAAC4CAABkcnMvZTJvRG9jLnhtbFBLAQItABQABgAIAAAAIQAA&#10;rVPJ3wAAAAsBAAAPAAAAAAAAAAAAAAAAANsEAABkcnMvZG93bnJldi54bWxQSwUGAAAAAAQABADz&#10;AAAA5wUAAAAA&#10;" o:allowoverlap="f" fillcolor="#0d3e76" stroked="f" strokeweight=".5pt">
              <v:textbox inset="0,0,0,0">
                <w:txbxContent>
                  <w:tbl>
                    <w:tblPr>
                      <w:tblW w:w="5000" w:type="pct"/>
                      <w:tblCellMar>
                        <w:left w:w="0" w:type="dxa"/>
                        <w:right w:w="0" w:type="dxa"/>
                      </w:tblCellMar>
                      <w:tblLook w:val="04A0" w:firstRow="1" w:lastRow="0" w:firstColumn="1" w:lastColumn="0" w:noHBand="0" w:noVBand="1"/>
                    </w:tblPr>
                    <w:tblGrid>
                      <w:gridCol w:w="259"/>
                      <w:gridCol w:w="12081"/>
                      <w:gridCol w:w="650"/>
                    </w:tblGrid>
                    <w:tr w:rsidR="004C0FD4" w:rsidRPr="00CD6084" w14:paraId="36C7F0C1" w14:textId="77777777" w:rsidTr="004C0FD4">
                      <w:trPr>
                        <w:trHeight w:hRule="exact" w:val="360"/>
                      </w:trPr>
                      <w:tc>
                        <w:tcPr>
                          <w:tcW w:w="100" w:type="pct"/>
                          <w:shd w:val="clear" w:color="auto" w:fill="4472C4" w:themeFill="accent1"/>
                          <w:vAlign w:val="center"/>
                        </w:tcPr>
                        <w:p w14:paraId="5F0EE711" w14:textId="77777777" w:rsidR="004C0FD4" w:rsidRPr="00CD6084" w:rsidRDefault="004C0FD4" w:rsidP="008B6497">
                          <w:pPr>
                            <w:pStyle w:val="Footer"/>
                          </w:pPr>
                        </w:p>
                      </w:tc>
                      <w:tc>
                        <w:tcPr>
                          <w:tcW w:w="4650" w:type="pct"/>
                          <w:shd w:val="clear" w:color="auto" w:fill="0D3E76"/>
                          <w:vAlign w:val="center"/>
                        </w:tcPr>
                        <w:p w14:paraId="59C368B1" w14:textId="77777777" w:rsidR="004C0FD4" w:rsidRPr="00CD6084" w:rsidRDefault="004C0FD4" w:rsidP="008B6497">
                          <w:pPr>
                            <w:pStyle w:val="Footer"/>
                          </w:pPr>
                        </w:p>
                        <w:p w14:paraId="38942F42" w14:textId="77777777" w:rsidR="004C0FD4" w:rsidRPr="00CD6084" w:rsidRDefault="004C0FD4" w:rsidP="008B6497">
                          <w:pPr>
                            <w:pStyle w:val="Footer"/>
                          </w:pPr>
                        </w:p>
                      </w:tc>
                      <w:tc>
                        <w:tcPr>
                          <w:tcW w:w="250" w:type="pct"/>
                          <w:shd w:val="clear" w:color="auto" w:fill="0D3E76"/>
                          <w:vAlign w:val="center"/>
                        </w:tcPr>
                        <w:p w14:paraId="27E5D277" w14:textId="77777777" w:rsidR="004C0FD4" w:rsidRPr="00C369F3" w:rsidRDefault="00CD673B" w:rsidP="008B6497">
                          <w:pPr>
                            <w:pStyle w:val="Footer"/>
                            <w:rPr>
                              <w:color w:val="FFFFFF" w:themeColor="background1"/>
                            </w:rPr>
                          </w:pPr>
                          <w:r w:rsidRPr="00C369F3">
                            <w:rPr>
                              <w:color w:val="FFFFFF" w:themeColor="background1"/>
                            </w:rPr>
                            <w:fldChar w:fldCharType="begin"/>
                          </w:r>
                          <w:r w:rsidRPr="00C369F3">
                            <w:rPr>
                              <w:color w:val="FFFFFF" w:themeColor="background1"/>
                            </w:rPr>
                            <w:instrText xml:space="preserve"> PAGE   \* MERGEFORMAT </w:instrText>
                          </w:r>
                          <w:r w:rsidRPr="00C369F3">
                            <w:rPr>
                              <w:color w:val="FFFFFF" w:themeColor="background1"/>
                            </w:rPr>
                            <w:fldChar w:fldCharType="separate"/>
                          </w:r>
                          <w:r w:rsidRPr="00C369F3">
                            <w:rPr>
                              <w:noProof/>
                              <w:color w:val="FFFFFF" w:themeColor="background1"/>
                            </w:rPr>
                            <w:t>2</w:t>
                          </w:r>
                          <w:r w:rsidRPr="00C369F3">
                            <w:rPr>
                              <w:noProof/>
                              <w:color w:val="FFFFFF" w:themeColor="background1"/>
                            </w:rPr>
                            <w:fldChar w:fldCharType="end"/>
                          </w:r>
                        </w:p>
                      </w:tc>
                    </w:tr>
                  </w:tbl>
                  <w:p w14:paraId="2F6BE791" w14:textId="77777777" w:rsidR="004C0FD4" w:rsidRPr="00CD6084" w:rsidRDefault="00CD673B">
                    <w:pPr>
                      <w:pStyle w:val="NoSpacing"/>
                      <w:rPr>
                        <w:rFonts w:ascii="Lato" w:hAnsi="Lato"/>
                        <w:sz w:val="20"/>
                        <w:szCs w:val="20"/>
                      </w:rPr>
                    </w:pPr>
                    <w:proofErr w:type="spellStart"/>
                    <w:r w:rsidRPr="00CD6084">
                      <w:rPr>
                        <w:rFonts w:ascii="Lato" w:hAnsi="Lato"/>
                        <w:sz w:val="20"/>
                        <w:szCs w:val="20"/>
                      </w:rPr>
                      <w:t>hhh</w:t>
                    </w:r>
                    <w:proofErr w:type="spellEnd"/>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72C6" w14:textId="77777777" w:rsidR="008319B1" w:rsidRDefault="008319B1" w:rsidP="008B6497">
      <w:r>
        <w:separator/>
      </w:r>
    </w:p>
  </w:footnote>
  <w:footnote w:type="continuationSeparator" w:id="0">
    <w:p w14:paraId="0827FCAA" w14:textId="77777777" w:rsidR="008319B1" w:rsidRDefault="008319B1" w:rsidP="008B6497">
      <w:r>
        <w:continuationSeparator/>
      </w:r>
    </w:p>
  </w:footnote>
  <w:footnote w:type="continuationNotice" w:id="1">
    <w:p w14:paraId="1166B7BE" w14:textId="77777777" w:rsidR="008319B1" w:rsidRDefault="008319B1">
      <w:pPr>
        <w:spacing w:after="0" w:line="240" w:lineRule="auto"/>
      </w:pPr>
    </w:p>
  </w:footnote>
  <w:footnote w:id="2">
    <w:p w14:paraId="7468F4DB" w14:textId="77777777" w:rsidR="008C46F3" w:rsidRPr="00BD31A9" w:rsidRDefault="008C46F3" w:rsidP="008C46F3">
      <w:pPr>
        <w:pStyle w:val="FootnoteText"/>
        <w:spacing w:after="0" w:line="240" w:lineRule="auto"/>
        <w:jc w:val="both"/>
        <w:rPr>
          <w:rStyle w:val="Hyperlink"/>
          <w:rFonts w:asciiTheme="minorHAnsi" w:hAnsiTheme="minorHAnsi" w:cstheme="minorHAnsi"/>
          <w:sz w:val="12"/>
          <w:szCs w:val="12"/>
        </w:rPr>
      </w:pPr>
      <w:r w:rsidRPr="00D06492">
        <w:rPr>
          <w:rStyle w:val="FootnoteReference"/>
          <w:rFonts w:asciiTheme="minorHAnsi" w:hAnsiTheme="minorHAnsi" w:cstheme="minorHAnsi"/>
          <w:sz w:val="12"/>
          <w:szCs w:val="12"/>
        </w:rPr>
        <w:footnoteRef/>
      </w:r>
      <w:r w:rsidRPr="00D06492">
        <w:rPr>
          <w:rFonts w:asciiTheme="minorHAnsi" w:hAnsiTheme="minorHAnsi" w:cstheme="minorHAnsi"/>
          <w:sz w:val="12"/>
          <w:szCs w:val="12"/>
        </w:rPr>
        <w:t xml:space="preserve"> </w:t>
      </w:r>
      <w:r w:rsidRPr="003E26DD">
        <w:rPr>
          <w:rFonts w:asciiTheme="minorHAnsi" w:hAnsiTheme="minorHAnsi" w:cstheme="minorHAnsi"/>
        </w:rPr>
        <w:t>The Chambers Ireland SDGs. Available at:</w:t>
      </w:r>
      <w:r w:rsidRPr="003E26DD">
        <w:t xml:space="preserve"> </w:t>
      </w:r>
      <w:hyperlink r:id="rId1" w:history="1">
        <w:r w:rsidRPr="003E26DD">
          <w:rPr>
            <w:rStyle w:val="Hyperlink"/>
            <w:rFonts w:asciiTheme="minorHAnsi" w:hAnsiTheme="minorHAnsi" w:cstheme="minorHAnsi"/>
          </w:rPr>
          <w:t>https://chambers.ie/sustainable-development-goals/</w:t>
        </w:r>
      </w:hyperlink>
      <w:r w:rsidRPr="00D06492">
        <w:rPr>
          <w:rFonts w:asciiTheme="minorHAnsi" w:hAnsiTheme="minorHAnsi" w:cstheme="minorHAnsi"/>
          <w:sz w:val="12"/>
          <w:szCs w:val="12"/>
        </w:rPr>
        <w:t xml:space="preserve"> </w:t>
      </w:r>
      <w:r w:rsidRPr="00D06492">
        <w:rPr>
          <w:rStyle w:val="Hyperlink"/>
          <w:rFonts w:asciiTheme="minorHAnsi" w:hAnsiTheme="minorHAnsi" w:cstheme="minorHAnsi"/>
          <w:sz w:val="12"/>
          <w:szCs w:val="12"/>
        </w:rPr>
        <w:t xml:space="preserve"> </w:t>
      </w:r>
    </w:p>
  </w:footnote>
  <w:footnote w:id="3">
    <w:p w14:paraId="04809210" w14:textId="61B9CDC4" w:rsidR="00BA11AD" w:rsidRDefault="00BA11AD">
      <w:pPr>
        <w:pStyle w:val="FootnoteText"/>
      </w:pPr>
      <w:r>
        <w:rPr>
          <w:rStyle w:val="FootnoteReference"/>
        </w:rPr>
        <w:footnoteRef/>
      </w:r>
      <w:r>
        <w:t xml:space="preserve"> </w:t>
      </w:r>
      <w:hyperlink r:id="rId2" w:anchor=":~:text=In%202022%2C%20Ireland%20had%20the,EU27%20average%20of%207.5%20tonnes" w:history="1">
        <w:r w:rsidR="00B11023" w:rsidRPr="003817B2">
          <w:rPr>
            <w:rStyle w:val="Hyperlink"/>
          </w:rPr>
          <w:t>https://www.cso.ie/en/releasesandpublications/ep/p-eii/environmentalindicatorsireland2024/greenhousegasesandclimatechange/#:~:text=In%202022%2C%20Ireland%20had%20the,EU27%20average%20of%207.5%20tonnes</w:t>
        </w:r>
      </w:hyperlink>
      <w:r w:rsidR="00B11023">
        <w:t xml:space="preserve"> </w:t>
      </w:r>
    </w:p>
  </w:footnote>
  <w:footnote w:id="4">
    <w:p w14:paraId="05F92B44" w14:textId="7DEF204B" w:rsidR="004C78B0" w:rsidRDefault="004C78B0">
      <w:pPr>
        <w:pStyle w:val="FootnoteText"/>
      </w:pPr>
      <w:r>
        <w:rPr>
          <w:rStyle w:val="FootnoteReference"/>
        </w:rPr>
        <w:footnoteRef/>
      </w:r>
      <w:r>
        <w:t xml:space="preserve"> </w:t>
      </w:r>
      <w:hyperlink r:id="rId3" w:history="1">
        <w:r w:rsidRPr="003817B2">
          <w:rPr>
            <w:rStyle w:val="Hyperlink"/>
          </w:rPr>
          <w:t>https://www.epa.ie/news-releases/news-releases-2024/ireland-is-projected-to-exceed-its-national-and-eu-climate-targets.php</w:t>
        </w:r>
      </w:hyperlink>
    </w:p>
  </w:footnote>
  <w:footnote w:id="5">
    <w:p w14:paraId="03061057" w14:textId="0471E4A5" w:rsidR="00D614EF" w:rsidRDefault="00D614EF">
      <w:pPr>
        <w:pStyle w:val="FootnoteText"/>
      </w:pPr>
      <w:r>
        <w:rPr>
          <w:rStyle w:val="FootnoteReference"/>
        </w:rPr>
        <w:footnoteRef/>
      </w:r>
      <w:r>
        <w:t xml:space="preserve"> </w:t>
      </w:r>
      <w:hyperlink r:id="rId4" w:history="1">
        <w:r w:rsidR="00E369A4" w:rsidRPr="003817B2">
          <w:rPr>
            <w:rStyle w:val="Hyperlink"/>
          </w:rPr>
          <w:t>https://www.gov.ie/en/publication/79659-climate-action-plan-2024/</w:t>
        </w:r>
      </w:hyperlink>
      <w:r w:rsidR="00E369A4">
        <w:t xml:space="preserve"> </w:t>
      </w:r>
    </w:p>
  </w:footnote>
  <w:footnote w:id="6">
    <w:p w14:paraId="46BCFB67" w14:textId="17EEEAB9" w:rsidR="00553082" w:rsidRDefault="00553082">
      <w:pPr>
        <w:pStyle w:val="FootnoteText"/>
      </w:pPr>
      <w:r>
        <w:rPr>
          <w:rStyle w:val="FootnoteReference"/>
        </w:rPr>
        <w:footnoteRef/>
      </w:r>
      <w:r>
        <w:t xml:space="preserve"> </w:t>
      </w:r>
      <w:hyperlink r:id="rId5" w:history="1">
        <w:r w:rsidR="00123904" w:rsidRPr="003817B2">
          <w:rPr>
            <w:rStyle w:val="Hyperlink"/>
          </w:rPr>
          <w:t>https://assets.gov.ie/263248/f982c10f-eca6-4092-a305-90000e5213ed.pdf</w:t>
        </w:r>
      </w:hyperlink>
    </w:p>
  </w:footnote>
  <w:footnote w:id="7">
    <w:p w14:paraId="031A9965" w14:textId="666EB632" w:rsidR="00352DE5" w:rsidRDefault="00352DE5">
      <w:pPr>
        <w:pStyle w:val="FootnoteText"/>
      </w:pPr>
      <w:r>
        <w:rPr>
          <w:rStyle w:val="FootnoteReference"/>
        </w:rPr>
        <w:footnoteRef/>
      </w:r>
      <w:r>
        <w:t xml:space="preserve"> </w:t>
      </w:r>
      <w:hyperlink r:id="rId6" w:history="1">
        <w:r w:rsidRPr="003817B2">
          <w:rPr>
            <w:rStyle w:val="Hyperlink"/>
          </w:rPr>
          <w:t>https://energy.ec.europa.eu/topics/eus-energy-system/hydrogen/key-actions-eu-hydrogen-strategy_en</w:t>
        </w:r>
      </w:hyperlink>
    </w:p>
  </w:footnote>
  <w:footnote w:id="8">
    <w:p w14:paraId="67E3E1D4" w14:textId="610BC36F" w:rsidR="0089150B" w:rsidRDefault="0089150B">
      <w:pPr>
        <w:pStyle w:val="FootnoteText"/>
      </w:pPr>
      <w:r>
        <w:rPr>
          <w:rStyle w:val="FootnoteReference"/>
        </w:rPr>
        <w:footnoteRef/>
      </w:r>
      <w:r>
        <w:t xml:space="preserve"> </w:t>
      </w:r>
      <w:hyperlink r:id="rId7" w:history="1">
        <w:r w:rsidRPr="00E14E94">
          <w:rPr>
            <w:rStyle w:val="Hyperlink"/>
          </w:rPr>
          <w:t>https://chambers.ie/press-releases/planning-bill-marks-vital-step-towards-reform/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A9DB" w14:textId="111B329A" w:rsidR="004C0FD4" w:rsidRDefault="009C2B23" w:rsidP="008B6497">
    <w:pPr>
      <w:pStyle w:val="Header"/>
    </w:pPr>
    <w:r>
      <w:rPr>
        <w:b/>
        <w:bCs/>
        <w:noProof/>
        <w:sz w:val="48"/>
        <w:szCs w:val="48"/>
        <w:lang w:val="en-IE"/>
      </w:rPr>
      <w:drawing>
        <wp:anchor distT="0" distB="0" distL="114300" distR="114300" simplePos="0" relativeHeight="251662338" behindDoc="1" locked="0" layoutInCell="1" allowOverlap="1" wp14:anchorId="551DAC89" wp14:editId="5B70E954">
          <wp:simplePos x="0" y="0"/>
          <wp:positionH relativeFrom="margin">
            <wp:align>left</wp:align>
          </wp:positionH>
          <wp:positionV relativeFrom="paragraph">
            <wp:posOffset>128270</wp:posOffset>
          </wp:positionV>
          <wp:extent cx="1866900" cy="554355"/>
          <wp:effectExtent l="0" t="0" r="0" b="0"/>
          <wp:wrapTopAndBottom/>
          <wp:docPr id="607969831" name="Picture 3"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97117" name="Picture 3" descr="A blue and yellow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54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D7"/>
    <w:multiLevelType w:val="hybridMultilevel"/>
    <w:tmpl w:val="BE7AF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670F4B"/>
    <w:multiLevelType w:val="hybridMultilevel"/>
    <w:tmpl w:val="B868E6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694F46"/>
    <w:multiLevelType w:val="multilevel"/>
    <w:tmpl w:val="CFD4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90154"/>
    <w:multiLevelType w:val="multilevel"/>
    <w:tmpl w:val="71CAE22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99D55D0"/>
    <w:multiLevelType w:val="hybridMultilevel"/>
    <w:tmpl w:val="82C41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C82B2A"/>
    <w:multiLevelType w:val="hybridMultilevel"/>
    <w:tmpl w:val="3E604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4977A8"/>
    <w:multiLevelType w:val="hybridMultilevel"/>
    <w:tmpl w:val="B6BCFC52"/>
    <w:lvl w:ilvl="0" w:tplc="1AEC3084">
      <w:numFmt w:val="bullet"/>
      <w:lvlText w:val="-"/>
      <w:lvlJc w:val="left"/>
      <w:pPr>
        <w:ind w:left="720" w:hanging="360"/>
      </w:pPr>
      <w:rPr>
        <w:rFonts w:ascii="Lato" w:eastAsia="Times New Roman" w:hAnsi="Lato"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8C477A"/>
    <w:multiLevelType w:val="hybridMultilevel"/>
    <w:tmpl w:val="C750F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0D5193"/>
    <w:multiLevelType w:val="multilevel"/>
    <w:tmpl w:val="7B5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4595A"/>
    <w:multiLevelType w:val="multilevel"/>
    <w:tmpl w:val="3B1A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660F4"/>
    <w:multiLevelType w:val="multilevel"/>
    <w:tmpl w:val="86AA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257BC"/>
    <w:multiLevelType w:val="hybridMultilevel"/>
    <w:tmpl w:val="2222D1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7162AE0"/>
    <w:multiLevelType w:val="multilevel"/>
    <w:tmpl w:val="291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2372B"/>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7574C6"/>
    <w:multiLevelType w:val="hybridMultilevel"/>
    <w:tmpl w:val="74B47F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330A5B"/>
    <w:multiLevelType w:val="hybridMultilevel"/>
    <w:tmpl w:val="5A40A668"/>
    <w:lvl w:ilvl="0" w:tplc="14B26FB4">
      <w:start w:val="7"/>
      <w:numFmt w:val="decimal"/>
      <w:lvlText w:val="%1."/>
      <w:lvlJc w:val="left"/>
      <w:pPr>
        <w:ind w:left="460" w:hanging="361"/>
      </w:pPr>
      <w:rPr>
        <w:rFonts w:ascii="Tahoma" w:eastAsia="Tahoma" w:hAnsi="Tahoma" w:cs="Tahoma" w:hint="default"/>
        <w:b w:val="0"/>
        <w:bCs w:val="0"/>
        <w:i w:val="0"/>
        <w:iCs w:val="0"/>
        <w:color w:val="0D3D76"/>
        <w:spacing w:val="-1"/>
        <w:w w:val="96"/>
        <w:sz w:val="22"/>
        <w:szCs w:val="22"/>
        <w:lang w:val="en-US" w:eastAsia="en-US" w:bidi="ar-SA"/>
      </w:rPr>
    </w:lvl>
    <w:lvl w:ilvl="1" w:tplc="D0E69A3A">
      <w:start w:val="1"/>
      <w:numFmt w:val="lowerLetter"/>
      <w:lvlText w:val="%2."/>
      <w:lvlJc w:val="left"/>
      <w:pPr>
        <w:ind w:left="1540" w:hanging="360"/>
      </w:pPr>
      <w:rPr>
        <w:rFonts w:ascii="Tahoma" w:eastAsia="Tahoma" w:hAnsi="Tahoma" w:cs="Tahoma" w:hint="default"/>
        <w:b w:val="0"/>
        <w:bCs w:val="0"/>
        <w:i w:val="0"/>
        <w:iCs w:val="0"/>
        <w:color w:val="0D3D76"/>
        <w:w w:val="88"/>
        <w:sz w:val="22"/>
        <w:szCs w:val="22"/>
        <w:lang w:val="en-US" w:eastAsia="en-US" w:bidi="ar-SA"/>
      </w:rPr>
    </w:lvl>
    <w:lvl w:ilvl="2" w:tplc="3E280916">
      <w:numFmt w:val="bullet"/>
      <w:lvlText w:val="•"/>
      <w:lvlJc w:val="left"/>
      <w:pPr>
        <w:ind w:left="2513" w:hanging="360"/>
      </w:pPr>
      <w:rPr>
        <w:rFonts w:hint="default"/>
        <w:lang w:val="en-US" w:eastAsia="en-US" w:bidi="ar-SA"/>
      </w:rPr>
    </w:lvl>
    <w:lvl w:ilvl="3" w:tplc="DAD8379C">
      <w:numFmt w:val="bullet"/>
      <w:lvlText w:val="•"/>
      <w:lvlJc w:val="left"/>
      <w:pPr>
        <w:ind w:left="3486" w:hanging="360"/>
      </w:pPr>
      <w:rPr>
        <w:rFonts w:hint="default"/>
        <w:lang w:val="en-US" w:eastAsia="en-US" w:bidi="ar-SA"/>
      </w:rPr>
    </w:lvl>
    <w:lvl w:ilvl="4" w:tplc="E85CCCEE">
      <w:numFmt w:val="bullet"/>
      <w:lvlText w:val="•"/>
      <w:lvlJc w:val="left"/>
      <w:pPr>
        <w:ind w:left="4460" w:hanging="360"/>
      </w:pPr>
      <w:rPr>
        <w:rFonts w:hint="default"/>
        <w:lang w:val="en-US" w:eastAsia="en-US" w:bidi="ar-SA"/>
      </w:rPr>
    </w:lvl>
    <w:lvl w:ilvl="5" w:tplc="68667E20">
      <w:numFmt w:val="bullet"/>
      <w:lvlText w:val="•"/>
      <w:lvlJc w:val="left"/>
      <w:pPr>
        <w:ind w:left="5433" w:hanging="360"/>
      </w:pPr>
      <w:rPr>
        <w:rFonts w:hint="default"/>
        <w:lang w:val="en-US" w:eastAsia="en-US" w:bidi="ar-SA"/>
      </w:rPr>
    </w:lvl>
    <w:lvl w:ilvl="6" w:tplc="119874F8">
      <w:numFmt w:val="bullet"/>
      <w:lvlText w:val="•"/>
      <w:lvlJc w:val="left"/>
      <w:pPr>
        <w:ind w:left="6406" w:hanging="360"/>
      </w:pPr>
      <w:rPr>
        <w:rFonts w:hint="default"/>
        <w:lang w:val="en-US" w:eastAsia="en-US" w:bidi="ar-SA"/>
      </w:rPr>
    </w:lvl>
    <w:lvl w:ilvl="7" w:tplc="C9123E70">
      <w:numFmt w:val="bullet"/>
      <w:lvlText w:val="•"/>
      <w:lvlJc w:val="left"/>
      <w:pPr>
        <w:ind w:left="7380" w:hanging="360"/>
      </w:pPr>
      <w:rPr>
        <w:rFonts w:hint="default"/>
        <w:lang w:val="en-US" w:eastAsia="en-US" w:bidi="ar-SA"/>
      </w:rPr>
    </w:lvl>
    <w:lvl w:ilvl="8" w:tplc="A50C54C8">
      <w:numFmt w:val="bullet"/>
      <w:lvlText w:val="•"/>
      <w:lvlJc w:val="left"/>
      <w:pPr>
        <w:ind w:left="8353" w:hanging="360"/>
      </w:pPr>
      <w:rPr>
        <w:rFonts w:hint="default"/>
        <w:lang w:val="en-US" w:eastAsia="en-US" w:bidi="ar-SA"/>
      </w:rPr>
    </w:lvl>
  </w:abstractNum>
  <w:abstractNum w:abstractNumId="16" w15:restartNumberingAfterBreak="0">
    <w:nsid w:val="421E389C"/>
    <w:multiLevelType w:val="multilevel"/>
    <w:tmpl w:val="FADA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C20BD"/>
    <w:multiLevelType w:val="hybridMultilevel"/>
    <w:tmpl w:val="4254E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1B6D6D"/>
    <w:multiLevelType w:val="hybridMultilevel"/>
    <w:tmpl w:val="78B41788"/>
    <w:lvl w:ilvl="0" w:tplc="1809000F">
      <w:start w:val="1"/>
      <w:numFmt w:val="decimal"/>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9" w15:restartNumberingAfterBreak="0">
    <w:nsid w:val="499D45E7"/>
    <w:multiLevelType w:val="multilevel"/>
    <w:tmpl w:val="D50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95B9F"/>
    <w:multiLevelType w:val="hybridMultilevel"/>
    <w:tmpl w:val="3718E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F02184"/>
    <w:multiLevelType w:val="multilevel"/>
    <w:tmpl w:val="09A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23837"/>
    <w:multiLevelType w:val="hybridMultilevel"/>
    <w:tmpl w:val="A2DA3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716410"/>
    <w:multiLevelType w:val="multilevel"/>
    <w:tmpl w:val="86AA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E4A66"/>
    <w:multiLevelType w:val="multilevel"/>
    <w:tmpl w:val="1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58E47610"/>
    <w:multiLevelType w:val="hybridMultilevel"/>
    <w:tmpl w:val="0AC0A88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99C0418"/>
    <w:multiLevelType w:val="multilevel"/>
    <w:tmpl w:val="5BBC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848A1"/>
    <w:multiLevelType w:val="hybridMultilevel"/>
    <w:tmpl w:val="321A7A9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5F492FBE"/>
    <w:multiLevelType w:val="hybridMultilevel"/>
    <w:tmpl w:val="58205C2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420905"/>
    <w:multiLevelType w:val="multilevel"/>
    <w:tmpl w:val="7E5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659BB"/>
    <w:multiLevelType w:val="hybridMultilevel"/>
    <w:tmpl w:val="34EEE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151327"/>
    <w:multiLevelType w:val="hybridMultilevel"/>
    <w:tmpl w:val="7CA446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9C45EB"/>
    <w:multiLevelType w:val="hybridMultilevel"/>
    <w:tmpl w:val="A2B6C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5A5B10"/>
    <w:multiLevelType w:val="hybridMultilevel"/>
    <w:tmpl w:val="91B0AA02"/>
    <w:lvl w:ilvl="0" w:tplc="7ABE46AE">
      <w:start w:val="1"/>
      <w:numFmt w:val="decimal"/>
      <w:lvlText w:val="%1."/>
      <w:lvlJc w:val="left"/>
      <w:pPr>
        <w:ind w:left="460" w:hanging="361"/>
      </w:pPr>
      <w:rPr>
        <w:rFonts w:hint="default"/>
        <w:spacing w:val="-1"/>
        <w:w w:val="86"/>
        <w:lang w:val="en-US" w:eastAsia="en-US" w:bidi="ar-SA"/>
      </w:rPr>
    </w:lvl>
    <w:lvl w:ilvl="1" w:tplc="13B6A630">
      <w:start w:val="1"/>
      <w:numFmt w:val="lowerRoman"/>
      <w:lvlText w:val="%2."/>
      <w:lvlJc w:val="left"/>
      <w:pPr>
        <w:ind w:left="1180" w:hanging="468"/>
        <w:jc w:val="right"/>
      </w:pPr>
      <w:rPr>
        <w:rFonts w:ascii="Tahoma" w:eastAsia="Tahoma" w:hAnsi="Tahoma" w:cs="Tahoma" w:hint="default"/>
        <w:b/>
        <w:bCs/>
        <w:i w:val="0"/>
        <w:iCs w:val="0"/>
        <w:color w:val="0D3D76"/>
        <w:spacing w:val="-1"/>
        <w:w w:val="80"/>
        <w:sz w:val="22"/>
        <w:szCs w:val="22"/>
        <w:lang w:val="en-US" w:eastAsia="en-US" w:bidi="ar-SA"/>
      </w:rPr>
    </w:lvl>
    <w:lvl w:ilvl="2" w:tplc="EFD0B6B2">
      <w:numFmt w:val="bullet"/>
      <w:lvlText w:val="•"/>
      <w:lvlJc w:val="left"/>
      <w:pPr>
        <w:ind w:left="2193" w:hanging="468"/>
      </w:pPr>
      <w:rPr>
        <w:rFonts w:hint="default"/>
        <w:lang w:val="en-US" w:eastAsia="en-US" w:bidi="ar-SA"/>
      </w:rPr>
    </w:lvl>
    <w:lvl w:ilvl="3" w:tplc="5FCA1BF6">
      <w:numFmt w:val="bullet"/>
      <w:lvlText w:val="•"/>
      <w:lvlJc w:val="left"/>
      <w:pPr>
        <w:ind w:left="3206" w:hanging="468"/>
      </w:pPr>
      <w:rPr>
        <w:rFonts w:hint="default"/>
        <w:lang w:val="en-US" w:eastAsia="en-US" w:bidi="ar-SA"/>
      </w:rPr>
    </w:lvl>
    <w:lvl w:ilvl="4" w:tplc="EF68000A">
      <w:numFmt w:val="bullet"/>
      <w:lvlText w:val="•"/>
      <w:lvlJc w:val="left"/>
      <w:pPr>
        <w:ind w:left="4220" w:hanging="468"/>
      </w:pPr>
      <w:rPr>
        <w:rFonts w:hint="default"/>
        <w:lang w:val="en-US" w:eastAsia="en-US" w:bidi="ar-SA"/>
      </w:rPr>
    </w:lvl>
    <w:lvl w:ilvl="5" w:tplc="D6A4E916">
      <w:numFmt w:val="bullet"/>
      <w:lvlText w:val="•"/>
      <w:lvlJc w:val="left"/>
      <w:pPr>
        <w:ind w:left="5233" w:hanging="468"/>
      </w:pPr>
      <w:rPr>
        <w:rFonts w:hint="default"/>
        <w:lang w:val="en-US" w:eastAsia="en-US" w:bidi="ar-SA"/>
      </w:rPr>
    </w:lvl>
    <w:lvl w:ilvl="6" w:tplc="9C6A0CFE">
      <w:numFmt w:val="bullet"/>
      <w:lvlText w:val="•"/>
      <w:lvlJc w:val="left"/>
      <w:pPr>
        <w:ind w:left="6246" w:hanging="468"/>
      </w:pPr>
      <w:rPr>
        <w:rFonts w:hint="default"/>
        <w:lang w:val="en-US" w:eastAsia="en-US" w:bidi="ar-SA"/>
      </w:rPr>
    </w:lvl>
    <w:lvl w:ilvl="7" w:tplc="B2BA0498">
      <w:numFmt w:val="bullet"/>
      <w:lvlText w:val="•"/>
      <w:lvlJc w:val="left"/>
      <w:pPr>
        <w:ind w:left="7260" w:hanging="468"/>
      </w:pPr>
      <w:rPr>
        <w:rFonts w:hint="default"/>
        <w:lang w:val="en-US" w:eastAsia="en-US" w:bidi="ar-SA"/>
      </w:rPr>
    </w:lvl>
    <w:lvl w:ilvl="8" w:tplc="7F102468">
      <w:numFmt w:val="bullet"/>
      <w:lvlText w:val="•"/>
      <w:lvlJc w:val="left"/>
      <w:pPr>
        <w:ind w:left="8273" w:hanging="468"/>
      </w:pPr>
      <w:rPr>
        <w:rFonts w:hint="default"/>
        <w:lang w:val="en-US" w:eastAsia="en-US" w:bidi="ar-SA"/>
      </w:rPr>
    </w:lvl>
  </w:abstractNum>
  <w:abstractNum w:abstractNumId="34" w15:restartNumberingAfterBreak="0">
    <w:nsid w:val="6ECF5AB6"/>
    <w:multiLevelType w:val="hybridMultilevel"/>
    <w:tmpl w:val="6F441D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AE156A0"/>
    <w:multiLevelType w:val="multilevel"/>
    <w:tmpl w:val="06C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92673"/>
    <w:multiLevelType w:val="multilevel"/>
    <w:tmpl w:val="880E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11488">
    <w:abstractNumId w:val="6"/>
  </w:num>
  <w:num w:numId="2" w16cid:durableId="1558277555">
    <w:abstractNumId w:val="17"/>
  </w:num>
  <w:num w:numId="3" w16cid:durableId="632715474">
    <w:abstractNumId w:val="25"/>
  </w:num>
  <w:num w:numId="4" w16cid:durableId="1222251094">
    <w:abstractNumId w:val="28"/>
  </w:num>
  <w:num w:numId="5" w16cid:durableId="925697981">
    <w:abstractNumId w:val="0"/>
  </w:num>
  <w:num w:numId="6" w16cid:durableId="1739015060">
    <w:abstractNumId w:val="18"/>
  </w:num>
  <w:num w:numId="7" w16cid:durableId="1669867350">
    <w:abstractNumId w:val="36"/>
  </w:num>
  <w:num w:numId="8" w16cid:durableId="1133254782">
    <w:abstractNumId w:val="22"/>
  </w:num>
  <w:num w:numId="9" w16cid:durableId="815561867">
    <w:abstractNumId w:val="11"/>
  </w:num>
  <w:num w:numId="10" w16cid:durableId="898132481">
    <w:abstractNumId w:val="34"/>
  </w:num>
  <w:num w:numId="11" w16cid:durableId="1287850819">
    <w:abstractNumId w:val="14"/>
  </w:num>
  <w:num w:numId="12" w16cid:durableId="467209082">
    <w:abstractNumId w:val="31"/>
  </w:num>
  <w:num w:numId="13" w16cid:durableId="722750453">
    <w:abstractNumId w:val="26"/>
  </w:num>
  <w:num w:numId="14" w16cid:durableId="436221268">
    <w:abstractNumId w:val="16"/>
  </w:num>
  <w:num w:numId="15" w16cid:durableId="753355846">
    <w:abstractNumId w:val="32"/>
  </w:num>
  <w:num w:numId="16" w16cid:durableId="1763262313">
    <w:abstractNumId w:val="30"/>
  </w:num>
  <w:num w:numId="17" w16cid:durableId="280577268">
    <w:abstractNumId w:val="4"/>
  </w:num>
  <w:num w:numId="18" w16cid:durableId="822815438">
    <w:abstractNumId w:val="20"/>
  </w:num>
  <w:num w:numId="19" w16cid:durableId="1335836368">
    <w:abstractNumId w:val="1"/>
  </w:num>
  <w:num w:numId="20" w16cid:durableId="1502040520">
    <w:abstractNumId w:val="7"/>
  </w:num>
  <w:num w:numId="21" w16cid:durableId="35933836">
    <w:abstractNumId w:val="5"/>
  </w:num>
  <w:num w:numId="22" w16cid:durableId="1191644593">
    <w:abstractNumId w:val="19"/>
  </w:num>
  <w:num w:numId="23" w16cid:durableId="461264325">
    <w:abstractNumId w:val="29"/>
  </w:num>
  <w:num w:numId="24" w16cid:durableId="355665086">
    <w:abstractNumId w:val="9"/>
  </w:num>
  <w:num w:numId="25" w16cid:durableId="1991980103">
    <w:abstractNumId w:val="10"/>
  </w:num>
  <w:num w:numId="26" w16cid:durableId="492792476">
    <w:abstractNumId w:val="21"/>
  </w:num>
  <w:num w:numId="27" w16cid:durableId="1974602278">
    <w:abstractNumId w:val="8"/>
  </w:num>
  <w:num w:numId="28" w16cid:durableId="850948884">
    <w:abstractNumId w:val="35"/>
  </w:num>
  <w:num w:numId="29" w16cid:durableId="1859485">
    <w:abstractNumId w:val="12"/>
  </w:num>
  <w:num w:numId="30" w16cid:durableId="1706561125">
    <w:abstractNumId w:val="27"/>
  </w:num>
  <w:num w:numId="31" w16cid:durableId="745802237">
    <w:abstractNumId w:val="15"/>
  </w:num>
  <w:num w:numId="32" w16cid:durableId="458307687">
    <w:abstractNumId w:val="33"/>
  </w:num>
  <w:num w:numId="33" w16cid:durableId="1524518571">
    <w:abstractNumId w:val="2"/>
  </w:num>
  <w:num w:numId="34" w16cid:durableId="195118070">
    <w:abstractNumId w:val="3"/>
  </w:num>
  <w:num w:numId="35" w16cid:durableId="257325970">
    <w:abstractNumId w:val="23"/>
  </w:num>
  <w:num w:numId="36" w16cid:durableId="1208683968">
    <w:abstractNumId w:val="13"/>
  </w:num>
  <w:num w:numId="37" w16cid:durableId="17878930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E3"/>
    <w:rsid w:val="00004AB8"/>
    <w:rsid w:val="00004E05"/>
    <w:rsid w:val="00005897"/>
    <w:rsid w:val="00005D23"/>
    <w:rsid w:val="000101DC"/>
    <w:rsid w:val="00011486"/>
    <w:rsid w:val="00012087"/>
    <w:rsid w:val="0001217A"/>
    <w:rsid w:val="0001258E"/>
    <w:rsid w:val="00012C42"/>
    <w:rsid w:val="00014443"/>
    <w:rsid w:val="00015FE1"/>
    <w:rsid w:val="000203AA"/>
    <w:rsid w:val="000213D4"/>
    <w:rsid w:val="0002391A"/>
    <w:rsid w:val="00023A71"/>
    <w:rsid w:val="00025621"/>
    <w:rsid w:val="0002788C"/>
    <w:rsid w:val="00030B9E"/>
    <w:rsid w:val="00031470"/>
    <w:rsid w:val="00033C28"/>
    <w:rsid w:val="00035E63"/>
    <w:rsid w:val="00036466"/>
    <w:rsid w:val="000377B2"/>
    <w:rsid w:val="00040B1C"/>
    <w:rsid w:val="00042ADF"/>
    <w:rsid w:val="00045CBB"/>
    <w:rsid w:val="00046873"/>
    <w:rsid w:val="0004771F"/>
    <w:rsid w:val="000513B8"/>
    <w:rsid w:val="000529D0"/>
    <w:rsid w:val="00052F35"/>
    <w:rsid w:val="0005301D"/>
    <w:rsid w:val="0005323F"/>
    <w:rsid w:val="00053477"/>
    <w:rsid w:val="00055F7B"/>
    <w:rsid w:val="00057DBF"/>
    <w:rsid w:val="00060524"/>
    <w:rsid w:val="00060AAF"/>
    <w:rsid w:val="00061A07"/>
    <w:rsid w:val="000647E2"/>
    <w:rsid w:val="000675C5"/>
    <w:rsid w:val="00071CEA"/>
    <w:rsid w:val="00076884"/>
    <w:rsid w:val="0007783C"/>
    <w:rsid w:val="0008089E"/>
    <w:rsid w:val="0008359B"/>
    <w:rsid w:val="0008413F"/>
    <w:rsid w:val="000869D0"/>
    <w:rsid w:val="000909AB"/>
    <w:rsid w:val="0009268C"/>
    <w:rsid w:val="0009694E"/>
    <w:rsid w:val="000A37F2"/>
    <w:rsid w:val="000A3BF4"/>
    <w:rsid w:val="000B2D0B"/>
    <w:rsid w:val="000B333B"/>
    <w:rsid w:val="000B5A81"/>
    <w:rsid w:val="000B6E33"/>
    <w:rsid w:val="000B6E4D"/>
    <w:rsid w:val="000B729D"/>
    <w:rsid w:val="000B7471"/>
    <w:rsid w:val="000B78E8"/>
    <w:rsid w:val="000B7BCD"/>
    <w:rsid w:val="000C1AE5"/>
    <w:rsid w:val="000C3987"/>
    <w:rsid w:val="000C3CB6"/>
    <w:rsid w:val="000C581C"/>
    <w:rsid w:val="000C5BAD"/>
    <w:rsid w:val="000C5F08"/>
    <w:rsid w:val="000C6FA4"/>
    <w:rsid w:val="000D14AD"/>
    <w:rsid w:val="000D17EB"/>
    <w:rsid w:val="000D28D2"/>
    <w:rsid w:val="000D2B52"/>
    <w:rsid w:val="000D2BE5"/>
    <w:rsid w:val="000D5668"/>
    <w:rsid w:val="000D63BD"/>
    <w:rsid w:val="000D6E3D"/>
    <w:rsid w:val="000D735B"/>
    <w:rsid w:val="000E11D7"/>
    <w:rsid w:val="000E3489"/>
    <w:rsid w:val="000E3549"/>
    <w:rsid w:val="000E790A"/>
    <w:rsid w:val="000E7F1E"/>
    <w:rsid w:val="000F0034"/>
    <w:rsid w:val="000F135D"/>
    <w:rsid w:val="000F2063"/>
    <w:rsid w:val="000F22E9"/>
    <w:rsid w:val="000F353E"/>
    <w:rsid w:val="000F4928"/>
    <w:rsid w:val="000F496D"/>
    <w:rsid w:val="000F6411"/>
    <w:rsid w:val="001002F8"/>
    <w:rsid w:val="001014ED"/>
    <w:rsid w:val="001028D7"/>
    <w:rsid w:val="00103135"/>
    <w:rsid w:val="001035A5"/>
    <w:rsid w:val="00104B1F"/>
    <w:rsid w:val="00104B66"/>
    <w:rsid w:val="0010577D"/>
    <w:rsid w:val="00105C59"/>
    <w:rsid w:val="00112A21"/>
    <w:rsid w:val="00116476"/>
    <w:rsid w:val="001225A3"/>
    <w:rsid w:val="00123904"/>
    <w:rsid w:val="001271CE"/>
    <w:rsid w:val="0013080B"/>
    <w:rsid w:val="00131675"/>
    <w:rsid w:val="001321F1"/>
    <w:rsid w:val="0013250E"/>
    <w:rsid w:val="00132587"/>
    <w:rsid w:val="0013513C"/>
    <w:rsid w:val="00135917"/>
    <w:rsid w:val="00135D8B"/>
    <w:rsid w:val="001369A4"/>
    <w:rsid w:val="0013716B"/>
    <w:rsid w:val="00142869"/>
    <w:rsid w:val="00143235"/>
    <w:rsid w:val="00143746"/>
    <w:rsid w:val="00143B0D"/>
    <w:rsid w:val="00143B29"/>
    <w:rsid w:val="0014467F"/>
    <w:rsid w:val="00145033"/>
    <w:rsid w:val="0014593D"/>
    <w:rsid w:val="00145CF9"/>
    <w:rsid w:val="00145E0D"/>
    <w:rsid w:val="00154E44"/>
    <w:rsid w:val="00155162"/>
    <w:rsid w:val="00156612"/>
    <w:rsid w:val="00156A2B"/>
    <w:rsid w:val="0016399F"/>
    <w:rsid w:val="00164047"/>
    <w:rsid w:val="0016468B"/>
    <w:rsid w:val="0016706C"/>
    <w:rsid w:val="001702FF"/>
    <w:rsid w:val="00172513"/>
    <w:rsid w:val="00172803"/>
    <w:rsid w:val="00172824"/>
    <w:rsid w:val="00172F7A"/>
    <w:rsid w:val="0017382A"/>
    <w:rsid w:val="00175403"/>
    <w:rsid w:val="00175E78"/>
    <w:rsid w:val="00180AF3"/>
    <w:rsid w:val="001812A6"/>
    <w:rsid w:val="00182F3C"/>
    <w:rsid w:val="00185AA2"/>
    <w:rsid w:val="00187852"/>
    <w:rsid w:val="0019117C"/>
    <w:rsid w:val="001920FA"/>
    <w:rsid w:val="001931F5"/>
    <w:rsid w:val="001946CC"/>
    <w:rsid w:val="00195415"/>
    <w:rsid w:val="00195D66"/>
    <w:rsid w:val="00196B32"/>
    <w:rsid w:val="001A44F6"/>
    <w:rsid w:val="001A4728"/>
    <w:rsid w:val="001A4D63"/>
    <w:rsid w:val="001A58ED"/>
    <w:rsid w:val="001A698E"/>
    <w:rsid w:val="001B0E12"/>
    <w:rsid w:val="001B1F16"/>
    <w:rsid w:val="001B241D"/>
    <w:rsid w:val="001B43A7"/>
    <w:rsid w:val="001B5267"/>
    <w:rsid w:val="001B56A8"/>
    <w:rsid w:val="001B7B62"/>
    <w:rsid w:val="001C1637"/>
    <w:rsid w:val="001C6839"/>
    <w:rsid w:val="001D066C"/>
    <w:rsid w:val="001D201A"/>
    <w:rsid w:val="001D4446"/>
    <w:rsid w:val="001D4555"/>
    <w:rsid w:val="001D4C26"/>
    <w:rsid w:val="001D4CDE"/>
    <w:rsid w:val="001D5DD6"/>
    <w:rsid w:val="001D6DB5"/>
    <w:rsid w:val="001D70C4"/>
    <w:rsid w:val="001E269F"/>
    <w:rsid w:val="001E39D6"/>
    <w:rsid w:val="001E59E4"/>
    <w:rsid w:val="001E6D83"/>
    <w:rsid w:val="001F0226"/>
    <w:rsid w:val="001F07A4"/>
    <w:rsid w:val="001F14FA"/>
    <w:rsid w:val="001F1D4B"/>
    <w:rsid w:val="001F4A12"/>
    <w:rsid w:val="001F4E41"/>
    <w:rsid w:val="001F595B"/>
    <w:rsid w:val="001F6315"/>
    <w:rsid w:val="0020416F"/>
    <w:rsid w:val="0020474C"/>
    <w:rsid w:val="00207BB7"/>
    <w:rsid w:val="002128D7"/>
    <w:rsid w:val="002133AE"/>
    <w:rsid w:val="00213B2D"/>
    <w:rsid w:val="002157E4"/>
    <w:rsid w:val="00215984"/>
    <w:rsid w:val="002163B7"/>
    <w:rsid w:val="002164DB"/>
    <w:rsid w:val="00216BBC"/>
    <w:rsid w:val="002202D8"/>
    <w:rsid w:val="00220D65"/>
    <w:rsid w:val="002216FA"/>
    <w:rsid w:val="00221A99"/>
    <w:rsid w:val="00221CD8"/>
    <w:rsid w:val="00223181"/>
    <w:rsid w:val="00225C6F"/>
    <w:rsid w:val="002266E3"/>
    <w:rsid w:val="0022710F"/>
    <w:rsid w:val="0022722C"/>
    <w:rsid w:val="0023039A"/>
    <w:rsid w:val="002320A5"/>
    <w:rsid w:val="002325BF"/>
    <w:rsid w:val="0023270E"/>
    <w:rsid w:val="00232879"/>
    <w:rsid w:val="002344F5"/>
    <w:rsid w:val="002367A2"/>
    <w:rsid w:val="0023700A"/>
    <w:rsid w:val="002404E4"/>
    <w:rsid w:val="00240F91"/>
    <w:rsid w:val="00241198"/>
    <w:rsid w:val="00241EE7"/>
    <w:rsid w:val="00243979"/>
    <w:rsid w:val="00245801"/>
    <w:rsid w:val="00247E73"/>
    <w:rsid w:val="00251986"/>
    <w:rsid w:val="002526F4"/>
    <w:rsid w:val="002562EB"/>
    <w:rsid w:val="002564CF"/>
    <w:rsid w:val="00260343"/>
    <w:rsid w:val="00263050"/>
    <w:rsid w:val="00263568"/>
    <w:rsid w:val="0026439D"/>
    <w:rsid w:val="00264E9A"/>
    <w:rsid w:val="002704E3"/>
    <w:rsid w:val="002724DA"/>
    <w:rsid w:val="00272634"/>
    <w:rsid w:val="00274B15"/>
    <w:rsid w:val="00274BC3"/>
    <w:rsid w:val="002758CE"/>
    <w:rsid w:val="00282E75"/>
    <w:rsid w:val="00284698"/>
    <w:rsid w:val="00284E28"/>
    <w:rsid w:val="00285816"/>
    <w:rsid w:val="00285F35"/>
    <w:rsid w:val="0028788C"/>
    <w:rsid w:val="00290576"/>
    <w:rsid w:val="002906CC"/>
    <w:rsid w:val="002922D8"/>
    <w:rsid w:val="00292994"/>
    <w:rsid w:val="00294842"/>
    <w:rsid w:val="00295AF3"/>
    <w:rsid w:val="002968CC"/>
    <w:rsid w:val="00296AC7"/>
    <w:rsid w:val="00296BD2"/>
    <w:rsid w:val="00296CF5"/>
    <w:rsid w:val="0029736E"/>
    <w:rsid w:val="00297EFA"/>
    <w:rsid w:val="002A0B2E"/>
    <w:rsid w:val="002A0D77"/>
    <w:rsid w:val="002A5C86"/>
    <w:rsid w:val="002A6772"/>
    <w:rsid w:val="002A7D20"/>
    <w:rsid w:val="002B17B4"/>
    <w:rsid w:val="002B433F"/>
    <w:rsid w:val="002B452F"/>
    <w:rsid w:val="002B5D7D"/>
    <w:rsid w:val="002C0A14"/>
    <w:rsid w:val="002C11CB"/>
    <w:rsid w:val="002C1287"/>
    <w:rsid w:val="002C31B4"/>
    <w:rsid w:val="002C3BC2"/>
    <w:rsid w:val="002C449D"/>
    <w:rsid w:val="002C5294"/>
    <w:rsid w:val="002C6963"/>
    <w:rsid w:val="002C7D1E"/>
    <w:rsid w:val="002D1742"/>
    <w:rsid w:val="002D5D6A"/>
    <w:rsid w:val="002D68A0"/>
    <w:rsid w:val="002D6C3D"/>
    <w:rsid w:val="002D7F2C"/>
    <w:rsid w:val="002E1550"/>
    <w:rsid w:val="002E2604"/>
    <w:rsid w:val="002E2623"/>
    <w:rsid w:val="002F02A8"/>
    <w:rsid w:val="002F0FF6"/>
    <w:rsid w:val="002F3DB9"/>
    <w:rsid w:val="002F3E6D"/>
    <w:rsid w:val="002F42E1"/>
    <w:rsid w:val="002F656F"/>
    <w:rsid w:val="002F6DA4"/>
    <w:rsid w:val="002F79DF"/>
    <w:rsid w:val="0030123F"/>
    <w:rsid w:val="003017EA"/>
    <w:rsid w:val="00304ADF"/>
    <w:rsid w:val="00305549"/>
    <w:rsid w:val="00305837"/>
    <w:rsid w:val="00306538"/>
    <w:rsid w:val="003067F6"/>
    <w:rsid w:val="003071A3"/>
    <w:rsid w:val="00317445"/>
    <w:rsid w:val="00317B09"/>
    <w:rsid w:val="0032001F"/>
    <w:rsid w:val="003205B8"/>
    <w:rsid w:val="003214A0"/>
    <w:rsid w:val="003218AC"/>
    <w:rsid w:val="00321F87"/>
    <w:rsid w:val="003225C0"/>
    <w:rsid w:val="00326794"/>
    <w:rsid w:val="00326DF5"/>
    <w:rsid w:val="00330268"/>
    <w:rsid w:val="00330703"/>
    <w:rsid w:val="0033211D"/>
    <w:rsid w:val="00332983"/>
    <w:rsid w:val="00334BA3"/>
    <w:rsid w:val="00334D88"/>
    <w:rsid w:val="0033532B"/>
    <w:rsid w:val="00335F20"/>
    <w:rsid w:val="003361D3"/>
    <w:rsid w:val="00337748"/>
    <w:rsid w:val="00340D36"/>
    <w:rsid w:val="00341612"/>
    <w:rsid w:val="0034457C"/>
    <w:rsid w:val="00344646"/>
    <w:rsid w:val="00350816"/>
    <w:rsid w:val="00350A99"/>
    <w:rsid w:val="00352DE5"/>
    <w:rsid w:val="003566CE"/>
    <w:rsid w:val="003572E5"/>
    <w:rsid w:val="00357C83"/>
    <w:rsid w:val="00360160"/>
    <w:rsid w:val="003608F1"/>
    <w:rsid w:val="00360BF4"/>
    <w:rsid w:val="0036214D"/>
    <w:rsid w:val="00362795"/>
    <w:rsid w:val="003642B5"/>
    <w:rsid w:val="003645B8"/>
    <w:rsid w:val="00365926"/>
    <w:rsid w:val="00365E5C"/>
    <w:rsid w:val="00366229"/>
    <w:rsid w:val="003677A1"/>
    <w:rsid w:val="00367BEB"/>
    <w:rsid w:val="003725C7"/>
    <w:rsid w:val="003729CD"/>
    <w:rsid w:val="00373720"/>
    <w:rsid w:val="00373818"/>
    <w:rsid w:val="003739DD"/>
    <w:rsid w:val="00374023"/>
    <w:rsid w:val="003748CA"/>
    <w:rsid w:val="00374CAF"/>
    <w:rsid w:val="00375C1F"/>
    <w:rsid w:val="00375FA5"/>
    <w:rsid w:val="00376F50"/>
    <w:rsid w:val="003808F0"/>
    <w:rsid w:val="003809D8"/>
    <w:rsid w:val="00380CC6"/>
    <w:rsid w:val="00381796"/>
    <w:rsid w:val="0038199E"/>
    <w:rsid w:val="00382112"/>
    <w:rsid w:val="0038274C"/>
    <w:rsid w:val="0038286C"/>
    <w:rsid w:val="00385247"/>
    <w:rsid w:val="00387416"/>
    <w:rsid w:val="0039147A"/>
    <w:rsid w:val="00393FF7"/>
    <w:rsid w:val="00394522"/>
    <w:rsid w:val="00394FE5"/>
    <w:rsid w:val="00396C2A"/>
    <w:rsid w:val="00396D04"/>
    <w:rsid w:val="00397598"/>
    <w:rsid w:val="003A0257"/>
    <w:rsid w:val="003A0895"/>
    <w:rsid w:val="003A1A63"/>
    <w:rsid w:val="003A1F9E"/>
    <w:rsid w:val="003A2F45"/>
    <w:rsid w:val="003A5F49"/>
    <w:rsid w:val="003A6078"/>
    <w:rsid w:val="003A6856"/>
    <w:rsid w:val="003B2062"/>
    <w:rsid w:val="003B210E"/>
    <w:rsid w:val="003B6595"/>
    <w:rsid w:val="003B7675"/>
    <w:rsid w:val="003B7DC9"/>
    <w:rsid w:val="003C14AF"/>
    <w:rsid w:val="003C18B7"/>
    <w:rsid w:val="003C1E3B"/>
    <w:rsid w:val="003C29D7"/>
    <w:rsid w:val="003C4175"/>
    <w:rsid w:val="003C4F91"/>
    <w:rsid w:val="003D18B5"/>
    <w:rsid w:val="003D2397"/>
    <w:rsid w:val="003D7743"/>
    <w:rsid w:val="003E1ECF"/>
    <w:rsid w:val="003E2328"/>
    <w:rsid w:val="003E26DD"/>
    <w:rsid w:val="003E3E3A"/>
    <w:rsid w:val="003E435F"/>
    <w:rsid w:val="003E50A5"/>
    <w:rsid w:val="003E57E0"/>
    <w:rsid w:val="003E7CAC"/>
    <w:rsid w:val="003F0767"/>
    <w:rsid w:val="003F3DB1"/>
    <w:rsid w:val="003F5020"/>
    <w:rsid w:val="003F5398"/>
    <w:rsid w:val="003F5BD5"/>
    <w:rsid w:val="003F7DB2"/>
    <w:rsid w:val="00400CA3"/>
    <w:rsid w:val="00402F5C"/>
    <w:rsid w:val="00404FE1"/>
    <w:rsid w:val="004061CF"/>
    <w:rsid w:val="0041043B"/>
    <w:rsid w:val="00411984"/>
    <w:rsid w:val="0041379D"/>
    <w:rsid w:val="004146E9"/>
    <w:rsid w:val="00414814"/>
    <w:rsid w:val="00416A92"/>
    <w:rsid w:val="00417816"/>
    <w:rsid w:val="00421B12"/>
    <w:rsid w:val="0042247B"/>
    <w:rsid w:val="00422690"/>
    <w:rsid w:val="004226B9"/>
    <w:rsid w:val="00422CD5"/>
    <w:rsid w:val="0042446D"/>
    <w:rsid w:val="004258B6"/>
    <w:rsid w:val="004266A8"/>
    <w:rsid w:val="00426910"/>
    <w:rsid w:val="00426AC0"/>
    <w:rsid w:val="00426ECE"/>
    <w:rsid w:val="00427186"/>
    <w:rsid w:val="00427783"/>
    <w:rsid w:val="00430063"/>
    <w:rsid w:val="00431E40"/>
    <w:rsid w:val="00433B72"/>
    <w:rsid w:val="00434C0D"/>
    <w:rsid w:val="00435128"/>
    <w:rsid w:val="00436208"/>
    <w:rsid w:val="00436A77"/>
    <w:rsid w:val="00441A08"/>
    <w:rsid w:val="0044316D"/>
    <w:rsid w:val="0044420C"/>
    <w:rsid w:val="00446355"/>
    <w:rsid w:val="00446756"/>
    <w:rsid w:val="00447442"/>
    <w:rsid w:val="00447B31"/>
    <w:rsid w:val="00450323"/>
    <w:rsid w:val="00452C74"/>
    <w:rsid w:val="00453685"/>
    <w:rsid w:val="00454370"/>
    <w:rsid w:val="0045455F"/>
    <w:rsid w:val="00455AED"/>
    <w:rsid w:val="0045612F"/>
    <w:rsid w:val="004562FF"/>
    <w:rsid w:val="0045643F"/>
    <w:rsid w:val="00457D81"/>
    <w:rsid w:val="004636EE"/>
    <w:rsid w:val="00463EFE"/>
    <w:rsid w:val="00464AB7"/>
    <w:rsid w:val="00464DE7"/>
    <w:rsid w:val="00467AE0"/>
    <w:rsid w:val="00470F61"/>
    <w:rsid w:val="0047156A"/>
    <w:rsid w:val="00471F00"/>
    <w:rsid w:val="00474D7A"/>
    <w:rsid w:val="00475517"/>
    <w:rsid w:val="00475BFD"/>
    <w:rsid w:val="00476470"/>
    <w:rsid w:val="004824C7"/>
    <w:rsid w:val="004825D5"/>
    <w:rsid w:val="004830A7"/>
    <w:rsid w:val="00483764"/>
    <w:rsid w:val="00484138"/>
    <w:rsid w:val="004859E2"/>
    <w:rsid w:val="00487E96"/>
    <w:rsid w:val="00487F52"/>
    <w:rsid w:val="004953C2"/>
    <w:rsid w:val="00495EB9"/>
    <w:rsid w:val="00495F64"/>
    <w:rsid w:val="0049601B"/>
    <w:rsid w:val="0049656A"/>
    <w:rsid w:val="004A0F6F"/>
    <w:rsid w:val="004A13F2"/>
    <w:rsid w:val="004A195C"/>
    <w:rsid w:val="004A1B33"/>
    <w:rsid w:val="004A1CC1"/>
    <w:rsid w:val="004A42C8"/>
    <w:rsid w:val="004A475A"/>
    <w:rsid w:val="004A627A"/>
    <w:rsid w:val="004A65EE"/>
    <w:rsid w:val="004A6AF6"/>
    <w:rsid w:val="004A7EE3"/>
    <w:rsid w:val="004B1267"/>
    <w:rsid w:val="004B1496"/>
    <w:rsid w:val="004B3606"/>
    <w:rsid w:val="004B5F80"/>
    <w:rsid w:val="004B61F6"/>
    <w:rsid w:val="004C0D26"/>
    <w:rsid w:val="004C0FD4"/>
    <w:rsid w:val="004C30E7"/>
    <w:rsid w:val="004C50D0"/>
    <w:rsid w:val="004C78B0"/>
    <w:rsid w:val="004C7AB5"/>
    <w:rsid w:val="004D1B12"/>
    <w:rsid w:val="004D4E1C"/>
    <w:rsid w:val="004D5662"/>
    <w:rsid w:val="004D738B"/>
    <w:rsid w:val="004D7F22"/>
    <w:rsid w:val="004E09E8"/>
    <w:rsid w:val="004E15AB"/>
    <w:rsid w:val="004E26FA"/>
    <w:rsid w:val="004E3AC9"/>
    <w:rsid w:val="004E3CF4"/>
    <w:rsid w:val="004E3D45"/>
    <w:rsid w:val="004E4289"/>
    <w:rsid w:val="004E5A56"/>
    <w:rsid w:val="004E77AE"/>
    <w:rsid w:val="004E7843"/>
    <w:rsid w:val="004F0A7C"/>
    <w:rsid w:val="004F0FE9"/>
    <w:rsid w:val="00500316"/>
    <w:rsid w:val="00501DA1"/>
    <w:rsid w:val="00504BDF"/>
    <w:rsid w:val="00507EFC"/>
    <w:rsid w:val="005101F7"/>
    <w:rsid w:val="00512712"/>
    <w:rsid w:val="0051444D"/>
    <w:rsid w:val="0051745D"/>
    <w:rsid w:val="00520B8D"/>
    <w:rsid w:val="00521383"/>
    <w:rsid w:val="00521424"/>
    <w:rsid w:val="005226CB"/>
    <w:rsid w:val="00523223"/>
    <w:rsid w:val="00527834"/>
    <w:rsid w:val="00527CBD"/>
    <w:rsid w:val="00530A66"/>
    <w:rsid w:val="00530B78"/>
    <w:rsid w:val="00530ED1"/>
    <w:rsid w:val="00532713"/>
    <w:rsid w:val="00533105"/>
    <w:rsid w:val="005361AF"/>
    <w:rsid w:val="005368F8"/>
    <w:rsid w:val="00537CC1"/>
    <w:rsid w:val="00537D59"/>
    <w:rsid w:val="00541157"/>
    <w:rsid w:val="00542DB5"/>
    <w:rsid w:val="00547493"/>
    <w:rsid w:val="00547D40"/>
    <w:rsid w:val="00553082"/>
    <w:rsid w:val="00554026"/>
    <w:rsid w:val="00556589"/>
    <w:rsid w:val="00556B12"/>
    <w:rsid w:val="00557042"/>
    <w:rsid w:val="00560007"/>
    <w:rsid w:val="00561CDC"/>
    <w:rsid w:val="00563704"/>
    <w:rsid w:val="00566F8C"/>
    <w:rsid w:val="0057083A"/>
    <w:rsid w:val="00570D1C"/>
    <w:rsid w:val="0057141D"/>
    <w:rsid w:val="00571EA3"/>
    <w:rsid w:val="00573524"/>
    <w:rsid w:val="00575D07"/>
    <w:rsid w:val="00576197"/>
    <w:rsid w:val="00576E24"/>
    <w:rsid w:val="00577915"/>
    <w:rsid w:val="00577D0B"/>
    <w:rsid w:val="00580792"/>
    <w:rsid w:val="00582AB2"/>
    <w:rsid w:val="00583BE3"/>
    <w:rsid w:val="00585372"/>
    <w:rsid w:val="00585564"/>
    <w:rsid w:val="00590895"/>
    <w:rsid w:val="00595E71"/>
    <w:rsid w:val="005A3577"/>
    <w:rsid w:val="005A383C"/>
    <w:rsid w:val="005A3FEE"/>
    <w:rsid w:val="005A4D1B"/>
    <w:rsid w:val="005A549A"/>
    <w:rsid w:val="005A5B67"/>
    <w:rsid w:val="005A5E01"/>
    <w:rsid w:val="005A62CE"/>
    <w:rsid w:val="005B0157"/>
    <w:rsid w:val="005B02AC"/>
    <w:rsid w:val="005B0C86"/>
    <w:rsid w:val="005C0BA9"/>
    <w:rsid w:val="005C11F2"/>
    <w:rsid w:val="005C2188"/>
    <w:rsid w:val="005C252E"/>
    <w:rsid w:val="005C2B3A"/>
    <w:rsid w:val="005C33D8"/>
    <w:rsid w:val="005C3872"/>
    <w:rsid w:val="005C5409"/>
    <w:rsid w:val="005D0B80"/>
    <w:rsid w:val="005D1F48"/>
    <w:rsid w:val="005D3A54"/>
    <w:rsid w:val="005D44D7"/>
    <w:rsid w:val="005D5666"/>
    <w:rsid w:val="005D6566"/>
    <w:rsid w:val="005D6987"/>
    <w:rsid w:val="005D7FDF"/>
    <w:rsid w:val="005E081F"/>
    <w:rsid w:val="005E1815"/>
    <w:rsid w:val="005E23E4"/>
    <w:rsid w:val="005E3EA4"/>
    <w:rsid w:val="005E4229"/>
    <w:rsid w:val="005E753F"/>
    <w:rsid w:val="005F02F6"/>
    <w:rsid w:val="005F0802"/>
    <w:rsid w:val="005F1466"/>
    <w:rsid w:val="005F1E54"/>
    <w:rsid w:val="005F3296"/>
    <w:rsid w:val="005F4891"/>
    <w:rsid w:val="005F52AF"/>
    <w:rsid w:val="0060086A"/>
    <w:rsid w:val="00601E19"/>
    <w:rsid w:val="00602BDD"/>
    <w:rsid w:val="00604034"/>
    <w:rsid w:val="006106E7"/>
    <w:rsid w:val="00610E4A"/>
    <w:rsid w:val="0061172A"/>
    <w:rsid w:val="00611918"/>
    <w:rsid w:val="00611CE2"/>
    <w:rsid w:val="00612BAA"/>
    <w:rsid w:val="006131D6"/>
    <w:rsid w:val="00613507"/>
    <w:rsid w:val="0061682E"/>
    <w:rsid w:val="00616A31"/>
    <w:rsid w:val="00616E68"/>
    <w:rsid w:val="00616EAC"/>
    <w:rsid w:val="006202E3"/>
    <w:rsid w:val="0062139D"/>
    <w:rsid w:val="006218E9"/>
    <w:rsid w:val="0062292E"/>
    <w:rsid w:val="00623279"/>
    <w:rsid w:val="006232AD"/>
    <w:rsid w:val="006241CA"/>
    <w:rsid w:val="00624A57"/>
    <w:rsid w:val="00624AD7"/>
    <w:rsid w:val="00626455"/>
    <w:rsid w:val="00627D8D"/>
    <w:rsid w:val="00630073"/>
    <w:rsid w:val="00630C48"/>
    <w:rsid w:val="00630D3E"/>
    <w:rsid w:val="00631EBF"/>
    <w:rsid w:val="006322EE"/>
    <w:rsid w:val="00632A05"/>
    <w:rsid w:val="006338AE"/>
    <w:rsid w:val="00634FF0"/>
    <w:rsid w:val="00635196"/>
    <w:rsid w:val="00635E1B"/>
    <w:rsid w:val="006367F4"/>
    <w:rsid w:val="0064033A"/>
    <w:rsid w:val="006409B0"/>
    <w:rsid w:val="00642046"/>
    <w:rsid w:val="006430DE"/>
    <w:rsid w:val="00643344"/>
    <w:rsid w:val="00647056"/>
    <w:rsid w:val="006505FE"/>
    <w:rsid w:val="00651A4B"/>
    <w:rsid w:val="00653032"/>
    <w:rsid w:val="00653242"/>
    <w:rsid w:val="006537E8"/>
    <w:rsid w:val="00653EFB"/>
    <w:rsid w:val="00660287"/>
    <w:rsid w:val="006606F6"/>
    <w:rsid w:val="006610C0"/>
    <w:rsid w:val="00664F6F"/>
    <w:rsid w:val="006667E6"/>
    <w:rsid w:val="00666B9B"/>
    <w:rsid w:val="006674A2"/>
    <w:rsid w:val="006709C4"/>
    <w:rsid w:val="006712FC"/>
    <w:rsid w:val="00672AD2"/>
    <w:rsid w:val="00672BA6"/>
    <w:rsid w:val="00674499"/>
    <w:rsid w:val="00675D9B"/>
    <w:rsid w:val="006763FF"/>
    <w:rsid w:val="006769C4"/>
    <w:rsid w:val="00680937"/>
    <w:rsid w:val="00683B9A"/>
    <w:rsid w:val="006840B6"/>
    <w:rsid w:val="0068545D"/>
    <w:rsid w:val="00687929"/>
    <w:rsid w:val="006900A8"/>
    <w:rsid w:val="00690429"/>
    <w:rsid w:val="00690CE8"/>
    <w:rsid w:val="00690DD9"/>
    <w:rsid w:val="00691398"/>
    <w:rsid w:val="00692781"/>
    <w:rsid w:val="00694D78"/>
    <w:rsid w:val="00696C6F"/>
    <w:rsid w:val="00697072"/>
    <w:rsid w:val="006A00E8"/>
    <w:rsid w:val="006A0431"/>
    <w:rsid w:val="006A065D"/>
    <w:rsid w:val="006A07DF"/>
    <w:rsid w:val="006A404B"/>
    <w:rsid w:val="006A4AD1"/>
    <w:rsid w:val="006A7AA4"/>
    <w:rsid w:val="006B10AC"/>
    <w:rsid w:val="006B1C6B"/>
    <w:rsid w:val="006B3EAB"/>
    <w:rsid w:val="006B50BC"/>
    <w:rsid w:val="006B54CA"/>
    <w:rsid w:val="006B68E9"/>
    <w:rsid w:val="006B72FC"/>
    <w:rsid w:val="006C2109"/>
    <w:rsid w:val="006C2143"/>
    <w:rsid w:val="006D174E"/>
    <w:rsid w:val="006D2069"/>
    <w:rsid w:val="006D29EE"/>
    <w:rsid w:val="006D483C"/>
    <w:rsid w:val="006D6456"/>
    <w:rsid w:val="006D6471"/>
    <w:rsid w:val="006D651D"/>
    <w:rsid w:val="006D7CD7"/>
    <w:rsid w:val="006D7EB1"/>
    <w:rsid w:val="006E1C38"/>
    <w:rsid w:val="006E2841"/>
    <w:rsid w:val="006E4244"/>
    <w:rsid w:val="006E73BF"/>
    <w:rsid w:val="006E7669"/>
    <w:rsid w:val="006F21A0"/>
    <w:rsid w:val="006F3979"/>
    <w:rsid w:val="006F424B"/>
    <w:rsid w:val="006F4736"/>
    <w:rsid w:val="006F7366"/>
    <w:rsid w:val="007055A5"/>
    <w:rsid w:val="00706BB1"/>
    <w:rsid w:val="0070762A"/>
    <w:rsid w:val="00712253"/>
    <w:rsid w:val="00713484"/>
    <w:rsid w:val="00714923"/>
    <w:rsid w:val="00715D6C"/>
    <w:rsid w:val="00716D1F"/>
    <w:rsid w:val="00721707"/>
    <w:rsid w:val="007232BA"/>
    <w:rsid w:val="00723C74"/>
    <w:rsid w:val="00724AB3"/>
    <w:rsid w:val="00725761"/>
    <w:rsid w:val="007276C1"/>
    <w:rsid w:val="0073083A"/>
    <w:rsid w:val="00730CB3"/>
    <w:rsid w:val="00730F53"/>
    <w:rsid w:val="007314AA"/>
    <w:rsid w:val="00733084"/>
    <w:rsid w:val="007341B9"/>
    <w:rsid w:val="00734605"/>
    <w:rsid w:val="00736486"/>
    <w:rsid w:val="00736802"/>
    <w:rsid w:val="00740238"/>
    <w:rsid w:val="00740BF8"/>
    <w:rsid w:val="00741E28"/>
    <w:rsid w:val="00742D9C"/>
    <w:rsid w:val="0074336F"/>
    <w:rsid w:val="00751812"/>
    <w:rsid w:val="007537B3"/>
    <w:rsid w:val="00754661"/>
    <w:rsid w:val="00755589"/>
    <w:rsid w:val="00755819"/>
    <w:rsid w:val="00760F76"/>
    <w:rsid w:val="00762D34"/>
    <w:rsid w:val="00764EC7"/>
    <w:rsid w:val="00764F6D"/>
    <w:rsid w:val="00766BC1"/>
    <w:rsid w:val="007674D3"/>
    <w:rsid w:val="00771C8D"/>
    <w:rsid w:val="0077283B"/>
    <w:rsid w:val="00777365"/>
    <w:rsid w:val="00785C75"/>
    <w:rsid w:val="00785E98"/>
    <w:rsid w:val="007864E4"/>
    <w:rsid w:val="00787F42"/>
    <w:rsid w:val="00787FA4"/>
    <w:rsid w:val="007903CB"/>
    <w:rsid w:val="00790C20"/>
    <w:rsid w:val="00790DB6"/>
    <w:rsid w:val="00790F86"/>
    <w:rsid w:val="0079162A"/>
    <w:rsid w:val="00791C62"/>
    <w:rsid w:val="00794696"/>
    <w:rsid w:val="007946C7"/>
    <w:rsid w:val="00797619"/>
    <w:rsid w:val="007A05B1"/>
    <w:rsid w:val="007A0E6D"/>
    <w:rsid w:val="007A4F24"/>
    <w:rsid w:val="007A7D77"/>
    <w:rsid w:val="007B1DBB"/>
    <w:rsid w:val="007B1F5E"/>
    <w:rsid w:val="007B43A2"/>
    <w:rsid w:val="007B4649"/>
    <w:rsid w:val="007B472A"/>
    <w:rsid w:val="007B5CE2"/>
    <w:rsid w:val="007B6939"/>
    <w:rsid w:val="007B704F"/>
    <w:rsid w:val="007B7AE5"/>
    <w:rsid w:val="007B7C19"/>
    <w:rsid w:val="007C029F"/>
    <w:rsid w:val="007C1199"/>
    <w:rsid w:val="007C12E7"/>
    <w:rsid w:val="007C50FC"/>
    <w:rsid w:val="007C58EA"/>
    <w:rsid w:val="007C683B"/>
    <w:rsid w:val="007C7567"/>
    <w:rsid w:val="007D019D"/>
    <w:rsid w:val="007D2041"/>
    <w:rsid w:val="007D3369"/>
    <w:rsid w:val="007D7A35"/>
    <w:rsid w:val="007D7BB9"/>
    <w:rsid w:val="007E229E"/>
    <w:rsid w:val="007E2E4A"/>
    <w:rsid w:val="007E3528"/>
    <w:rsid w:val="007E3E26"/>
    <w:rsid w:val="007E4EE7"/>
    <w:rsid w:val="007F334A"/>
    <w:rsid w:val="007F3EAB"/>
    <w:rsid w:val="007F461A"/>
    <w:rsid w:val="007F4A69"/>
    <w:rsid w:val="007F730C"/>
    <w:rsid w:val="007F7572"/>
    <w:rsid w:val="008016AD"/>
    <w:rsid w:val="00804901"/>
    <w:rsid w:val="008049D1"/>
    <w:rsid w:val="00804B6C"/>
    <w:rsid w:val="008060CB"/>
    <w:rsid w:val="0081186B"/>
    <w:rsid w:val="0081357F"/>
    <w:rsid w:val="00820C6F"/>
    <w:rsid w:val="00820CCC"/>
    <w:rsid w:val="00821316"/>
    <w:rsid w:val="00821BF6"/>
    <w:rsid w:val="0082707A"/>
    <w:rsid w:val="0082734F"/>
    <w:rsid w:val="00830378"/>
    <w:rsid w:val="008317C0"/>
    <w:rsid w:val="008319B1"/>
    <w:rsid w:val="0083282A"/>
    <w:rsid w:val="008332AC"/>
    <w:rsid w:val="00836E84"/>
    <w:rsid w:val="00837897"/>
    <w:rsid w:val="00840B53"/>
    <w:rsid w:val="008421E8"/>
    <w:rsid w:val="00843898"/>
    <w:rsid w:val="0084391B"/>
    <w:rsid w:val="00844001"/>
    <w:rsid w:val="0084415F"/>
    <w:rsid w:val="0084696D"/>
    <w:rsid w:val="00847BFC"/>
    <w:rsid w:val="008504A8"/>
    <w:rsid w:val="00851E45"/>
    <w:rsid w:val="00852087"/>
    <w:rsid w:val="008523E2"/>
    <w:rsid w:val="00852D50"/>
    <w:rsid w:val="00854154"/>
    <w:rsid w:val="00854199"/>
    <w:rsid w:val="008578C3"/>
    <w:rsid w:val="00857AFA"/>
    <w:rsid w:val="0086193D"/>
    <w:rsid w:val="00863B7A"/>
    <w:rsid w:val="008649AD"/>
    <w:rsid w:val="00864A77"/>
    <w:rsid w:val="00867576"/>
    <w:rsid w:val="00867635"/>
    <w:rsid w:val="00867C6D"/>
    <w:rsid w:val="00872C89"/>
    <w:rsid w:val="0087423A"/>
    <w:rsid w:val="00874CB8"/>
    <w:rsid w:val="00875794"/>
    <w:rsid w:val="0087595C"/>
    <w:rsid w:val="00877BB8"/>
    <w:rsid w:val="00880EDA"/>
    <w:rsid w:val="00881013"/>
    <w:rsid w:val="00883A29"/>
    <w:rsid w:val="00884CD0"/>
    <w:rsid w:val="0089150B"/>
    <w:rsid w:val="00893E42"/>
    <w:rsid w:val="00894929"/>
    <w:rsid w:val="00894AE8"/>
    <w:rsid w:val="00896BB8"/>
    <w:rsid w:val="008A0D66"/>
    <w:rsid w:val="008A2797"/>
    <w:rsid w:val="008A3813"/>
    <w:rsid w:val="008A44A6"/>
    <w:rsid w:val="008A5AF8"/>
    <w:rsid w:val="008A6F15"/>
    <w:rsid w:val="008B276B"/>
    <w:rsid w:val="008B47D0"/>
    <w:rsid w:val="008B4E65"/>
    <w:rsid w:val="008B6497"/>
    <w:rsid w:val="008C0BCD"/>
    <w:rsid w:val="008C108B"/>
    <w:rsid w:val="008C2A80"/>
    <w:rsid w:val="008C33FB"/>
    <w:rsid w:val="008C357E"/>
    <w:rsid w:val="008C3EFD"/>
    <w:rsid w:val="008C46F3"/>
    <w:rsid w:val="008C4F13"/>
    <w:rsid w:val="008C50D4"/>
    <w:rsid w:val="008C673F"/>
    <w:rsid w:val="008C70BE"/>
    <w:rsid w:val="008D0197"/>
    <w:rsid w:val="008D2903"/>
    <w:rsid w:val="008D39FD"/>
    <w:rsid w:val="008D3E43"/>
    <w:rsid w:val="008D4407"/>
    <w:rsid w:val="008D44FB"/>
    <w:rsid w:val="008D46DC"/>
    <w:rsid w:val="008D6F8D"/>
    <w:rsid w:val="008E0BFD"/>
    <w:rsid w:val="008E2DBF"/>
    <w:rsid w:val="008E33C9"/>
    <w:rsid w:val="008E38ED"/>
    <w:rsid w:val="008E399E"/>
    <w:rsid w:val="008E519F"/>
    <w:rsid w:val="008E6011"/>
    <w:rsid w:val="008E6D0F"/>
    <w:rsid w:val="008E7200"/>
    <w:rsid w:val="008E750C"/>
    <w:rsid w:val="008F099A"/>
    <w:rsid w:val="008F1125"/>
    <w:rsid w:val="008F19BF"/>
    <w:rsid w:val="008F1AE7"/>
    <w:rsid w:val="008F1C83"/>
    <w:rsid w:val="008F2AA7"/>
    <w:rsid w:val="008F3D33"/>
    <w:rsid w:val="008F4849"/>
    <w:rsid w:val="008F49DA"/>
    <w:rsid w:val="008F5188"/>
    <w:rsid w:val="0090057D"/>
    <w:rsid w:val="0090086A"/>
    <w:rsid w:val="00900FD8"/>
    <w:rsid w:val="00901C85"/>
    <w:rsid w:val="009037D3"/>
    <w:rsid w:val="00903B93"/>
    <w:rsid w:val="00904828"/>
    <w:rsid w:val="0090505B"/>
    <w:rsid w:val="009077F4"/>
    <w:rsid w:val="00911F6B"/>
    <w:rsid w:val="0091783F"/>
    <w:rsid w:val="009207DE"/>
    <w:rsid w:val="00921B86"/>
    <w:rsid w:val="00922B1F"/>
    <w:rsid w:val="00925A87"/>
    <w:rsid w:val="00926185"/>
    <w:rsid w:val="00927C15"/>
    <w:rsid w:val="009313A0"/>
    <w:rsid w:val="00931688"/>
    <w:rsid w:val="00931975"/>
    <w:rsid w:val="00933602"/>
    <w:rsid w:val="009361CD"/>
    <w:rsid w:val="0093651A"/>
    <w:rsid w:val="0094134D"/>
    <w:rsid w:val="0094773F"/>
    <w:rsid w:val="00953820"/>
    <w:rsid w:val="00953CE9"/>
    <w:rsid w:val="00955F09"/>
    <w:rsid w:val="0095619D"/>
    <w:rsid w:val="00957245"/>
    <w:rsid w:val="00957683"/>
    <w:rsid w:val="00961F96"/>
    <w:rsid w:val="00962354"/>
    <w:rsid w:val="00962FAC"/>
    <w:rsid w:val="00963A90"/>
    <w:rsid w:val="0096416B"/>
    <w:rsid w:val="00964B16"/>
    <w:rsid w:val="0096677D"/>
    <w:rsid w:val="00966AD4"/>
    <w:rsid w:val="00970C0E"/>
    <w:rsid w:val="00972FA0"/>
    <w:rsid w:val="0097455F"/>
    <w:rsid w:val="00974758"/>
    <w:rsid w:val="009758C4"/>
    <w:rsid w:val="00975E84"/>
    <w:rsid w:val="00977672"/>
    <w:rsid w:val="00982838"/>
    <w:rsid w:val="00982EA8"/>
    <w:rsid w:val="009839DA"/>
    <w:rsid w:val="00984E94"/>
    <w:rsid w:val="0098713D"/>
    <w:rsid w:val="00990681"/>
    <w:rsid w:val="00990975"/>
    <w:rsid w:val="009914B6"/>
    <w:rsid w:val="00991E1E"/>
    <w:rsid w:val="00993C92"/>
    <w:rsid w:val="00994EAB"/>
    <w:rsid w:val="00996055"/>
    <w:rsid w:val="00997256"/>
    <w:rsid w:val="00997B34"/>
    <w:rsid w:val="009A09F3"/>
    <w:rsid w:val="009A3CAD"/>
    <w:rsid w:val="009A3D7D"/>
    <w:rsid w:val="009A414F"/>
    <w:rsid w:val="009A5783"/>
    <w:rsid w:val="009A6192"/>
    <w:rsid w:val="009A692E"/>
    <w:rsid w:val="009A707D"/>
    <w:rsid w:val="009A7313"/>
    <w:rsid w:val="009A7D26"/>
    <w:rsid w:val="009B22FA"/>
    <w:rsid w:val="009B2369"/>
    <w:rsid w:val="009B2550"/>
    <w:rsid w:val="009B2CFF"/>
    <w:rsid w:val="009B37A9"/>
    <w:rsid w:val="009B57BD"/>
    <w:rsid w:val="009B5FCD"/>
    <w:rsid w:val="009B6451"/>
    <w:rsid w:val="009B6FA7"/>
    <w:rsid w:val="009C2B23"/>
    <w:rsid w:val="009C3935"/>
    <w:rsid w:val="009C4825"/>
    <w:rsid w:val="009C56C5"/>
    <w:rsid w:val="009D0AD8"/>
    <w:rsid w:val="009D110C"/>
    <w:rsid w:val="009D1D9F"/>
    <w:rsid w:val="009D3ED3"/>
    <w:rsid w:val="009D421A"/>
    <w:rsid w:val="009D5C33"/>
    <w:rsid w:val="009D7EC1"/>
    <w:rsid w:val="009E0611"/>
    <w:rsid w:val="009E2653"/>
    <w:rsid w:val="009E3912"/>
    <w:rsid w:val="009E3A7A"/>
    <w:rsid w:val="009E4B72"/>
    <w:rsid w:val="009E65F4"/>
    <w:rsid w:val="009E77E4"/>
    <w:rsid w:val="009E7A0D"/>
    <w:rsid w:val="009F076A"/>
    <w:rsid w:val="009F1290"/>
    <w:rsid w:val="009F14A0"/>
    <w:rsid w:val="009F1833"/>
    <w:rsid w:val="009F1DE2"/>
    <w:rsid w:val="009F2F96"/>
    <w:rsid w:val="009F46A5"/>
    <w:rsid w:val="009F49FC"/>
    <w:rsid w:val="009F6218"/>
    <w:rsid w:val="009F7624"/>
    <w:rsid w:val="009F7CC8"/>
    <w:rsid w:val="00A01E7A"/>
    <w:rsid w:val="00A0214A"/>
    <w:rsid w:val="00A03074"/>
    <w:rsid w:val="00A0400C"/>
    <w:rsid w:val="00A06AF5"/>
    <w:rsid w:val="00A079FC"/>
    <w:rsid w:val="00A10092"/>
    <w:rsid w:val="00A115D5"/>
    <w:rsid w:val="00A1187A"/>
    <w:rsid w:val="00A1193E"/>
    <w:rsid w:val="00A12C1F"/>
    <w:rsid w:val="00A14BE7"/>
    <w:rsid w:val="00A2154E"/>
    <w:rsid w:val="00A2175A"/>
    <w:rsid w:val="00A22486"/>
    <w:rsid w:val="00A22A49"/>
    <w:rsid w:val="00A23792"/>
    <w:rsid w:val="00A24457"/>
    <w:rsid w:val="00A25303"/>
    <w:rsid w:val="00A25F40"/>
    <w:rsid w:val="00A262A4"/>
    <w:rsid w:val="00A2650E"/>
    <w:rsid w:val="00A27FC1"/>
    <w:rsid w:val="00A3757B"/>
    <w:rsid w:val="00A37B21"/>
    <w:rsid w:val="00A4024A"/>
    <w:rsid w:val="00A40EE1"/>
    <w:rsid w:val="00A4203F"/>
    <w:rsid w:val="00A43442"/>
    <w:rsid w:val="00A44121"/>
    <w:rsid w:val="00A5392A"/>
    <w:rsid w:val="00A53BEC"/>
    <w:rsid w:val="00A55795"/>
    <w:rsid w:val="00A558CD"/>
    <w:rsid w:val="00A578BB"/>
    <w:rsid w:val="00A579C3"/>
    <w:rsid w:val="00A622E5"/>
    <w:rsid w:val="00A65BA9"/>
    <w:rsid w:val="00A67D88"/>
    <w:rsid w:val="00A67EA5"/>
    <w:rsid w:val="00A72F75"/>
    <w:rsid w:val="00A73A3E"/>
    <w:rsid w:val="00A74CFF"/>
    <w:rsid w:val="00A75101"/>
    <w:rsid w:val="00A7535D"/>
    <w:rsid w:val="00A75E13"/>
    <w:rsid w:val="00A765EC"/>
    <w:rsid w:val="00A76B6A"/>
    <w:rsid w:val="00A779BF"/>
    <w:rsid w:val="00A803CD"/>
    <w:rsid w:val="00A805E0"/>
    <w:rsid w:val="00A8303B"/>
    <w:rsid w:val="00A83421"/>
    <w:rsid w:val="00A84214"/>
    <w:rsid w:val="00A85A87"/>
    <w:rsid w:val="00A862AB"/>
    <w:rsid w:val="00A87DB7"/>
    <w:rsid w:val="00A9171D"/>
    <w:rsid w:val="00A92B44"/>
    <w:rsid w:val="00A93771"/>
    <w:rsid w:val="00A94B32"/>
    <w:rsid w:val="00A94C3E"/>
    <w:rsid w:val="00A9594F"/>
    <w:rsid w:val="00A95A5B"/>
    <w:rsid w:val="00A9640F"/>
    <w:rsid w:val="00A96AD0"/>
    <w:rsid w:val="00AA0275"/>
    <w:rsid w:val="00AA07B5"/>
    <w:rsid w:val="00AA2A3B"/>
    <w:rsid w:val="00AA2F5E"/>
    <w:rsid w:val="00AA65FD"/>
    <w:rsid w:val="00AB132F"/>
    <w:rsid w:val="00AB3445"/>
    <w:rsid w:val="00AB3AFD"/>
    <w:rsid w:val="00AB6022"/>
    <w:rsid w:val="00AB7523"/>
    <w:rsid w:val="00AC0EEC"/>
    <w:rsid w:val="00AC23F8"/>
    <w:rsid w:val="00AC2767"/>
    <w:rsid w:val="00AC33D3"/>
    <w:rsid w:val="00AC38DF"/>
    <w:rsid w:val="00AC4B0C"/>
    <w:rsid w:val="00AD0649"/>
    <w:rsid w:val="00AD1158"/>
    <w:rsid w:val="00AD16ED"/>
    <w:rsid w:val="00AD239F"/>
    <w:rsid w:val="00AD3F0D"/>
    <w:rsid w:val="00AD47A8"/>
    <w:rsid w:val="00AD6B45"/>
    <w:rsid w:val="00AD6D2E"/>
    <w:rsid w:val="00AD78A4"/>
    <w:rsid w:val="00AE35E4"/>
    <w:rsid w:val="00AE4191"/>
    <w:rsid w:val="00AE675D"/>
    <w:rsid w:val="00AE6C90"/>
    <w:rsid w:val="00AF0018"/>
    <w:rsid w:val="00AF1738"/>
    <w:rsid w:val="00AF242E"/>
    <w:rsid w:val="00AF284E"/>
    <w:rsid w:val="00AF2D59"/>
    <w:rsid w:val="00AF2DE1"/>
    <w:rsid w:val="00AF52A5"/>
    <w:rsid w:val="00AF79C1"/>
    <w:rsid w:val="00B00583"/>
    <w:rsid w:val="00B0076A"/>
    <w:rsid w:val="00B00BC5"/>
    <w:rsid w:val="00B0349F"/>
    <w:rsid w:val="00B05419"/>
    <w:rsid w:val="00B05C4F"/>
    <w:rsid w:val="00B078A6"/>
    <w:rsid w:val="00B07E68"/>
    <w:rsid w:val="00B11023"/>
    <w:rsid w:val="00B116D5"/>
    <w:rsid w:val="00B11D89"/>
    <w:rsid w:val="00B12C0D"/>
    <w:rsid w:val="00B16B47"/>
    <w:rsid w:val="00B17581"/>
    <w:rsid w:val="00B214B5"/>
    <w:rsid w:val="00B22211"/>
    <w:rsid w:val="00B223C0"/>
    <w:rsid w:val="00B22921"/>
    <w:rsid w:val="00B22F83"/>
    <w:rsid w:val="00B26B68"/>
    <w:rsid w:val="00B32868"/>
    <w:rsid w:val="00B33E44"/>
    <w:rsid w:val="00B34A5A"/>
    <w:rsid w:val="00B35A14"/>
    <w:rsid w:val="00B36874"/>
    <w:rsid w:val="00B36B24"/>
    <w:rsid w:val="00B37042"/>
    <w:rsid w:val="00B40B75"/>
    <w:rsid w:val="00B41CDE"/>
    <w:rsid w:val="00B4338B"/>
    <w:rsid w:val="00B4708D"/>
    <w:rsid w:val="00B47B25"/>
    <w:rsid w:val="00B52121"/>
    <w:rsid w:val="00B53874"/>
    <w:rsid w:val="00B5595B"/>
    <w:rsid w:val="00B55A7E"/>
    <w:rsid w:val="00B561BB"/>
    <w:rsid w:val="00B56DB3"/>
    <w:rsid w:val="00B6038F"/>
    <w:rsid w:val="00B61F5C"/>
    <w:rsid w:val="00B63743"/>
    <w:rsid w:val="00B64C90"/>
    <w:rsid w:val="00B665F9"/>
    <w:rsid w:val="00B71316"/>
    <w:rsid w:val="00B7175E"/>
    <w:rsid w:val="00B72464"/>
    <w:rsid w:val="00B7462C"/>
    <w:rsid w:val="00B74797"/>
    <w:rsid w:val="00B74CB3"/>
    <w:rsid w:val="00B74FC2"/>
    <w:rsid w:val="00B757AE"/>
    <w:rsid w:val="00B806C2"/>
    <w:rsid w:val="00B80EFF"/>
    <w:rsid w:val="00B84C96"/>
    <w:rsid w:val="00B856D4"/>
    <w:rsid w:val="00B85D5E"/>
    <w:rsid w:val="00B915C5"/>
    <w:rsid w:val="00B94179"/>
    <w:rsid w:val="00B94944"/>
    <w:rsid w:val="00B94F5A"/>
    <w:rsid w:val="00B95AB8"/>
    <w:rsid w:val="00B978DC"/>
    <w:rsid w:val="00BA00AA"/>
    <w:rsid w:val="00BA067D"/>
    <w:rsid w:val="00BA09FE"/>
    <w:rsid w:val="00BA11AD"/>
    <w:rsid w:val="00BA1D6B"/>
    <w:rsid w:val="00BA3DB3"/>
    <w:rsid w:val="00BA5974"/>
    <w:rsid w:val="00BA6497"/>
    <w:rsid w:val="00BA6C53"/>
    <w:rsid w:val="00BB38E2"/>
    <w:rsid w:val="00BB4251"/>
    <w:rsid w:val="00BB499C"/>
    <w:rsid w:val="00BB65FA"/>
    <w:rsid w:val="00BB75C0"/>
    <w:rsid w:val="00BC017E"/>
    <w:rsid w:val="00BC01FD"/>
    <w:rsid w:val="00BC11D5"/>
    <w:rsid w:val="00BC2BE1"/>
    <w:rsid w:val="00BC335D"/>
    <w:rsid w:val="00BC3397"/>
    <w:rsid w:val="00BC3F79"/>
    <w:rsid w:val="00BC4CE0"/>
    <w:rsid w:val="00BC5D90"/>
    <w:rsid w:val="00BD10C8"/>
    <w:rsid w:val="00BD1108"/>
    <w:rsid w:val="00BD13AB"/>
    <w:rsid w:val="00BD16AD"/>
    <w:rsid w:val="00BD31A9"/>
    <w:rsid w:val="00BD40BF"/>
    <w:rsid w:val="00BD60C1"/>
    <w:rsid w:val="00BD69D7"/>
    <w:rsid w:val="00BD737F"/>
    <w:rsid w:val="00BD7A1D"/>
    <w:rsid w:val="00BE0AD2"/>
    <w:rsid w:val="00BE13F9"/>
    <w:rsid w:val="00BE5430"/>
    <w:rsid w:val="00BE5904"/>
    <w:rsid w:val="00BE6381"/>
    <w:rsid w:val="00BE64C3"/>
    <w:rsid w:val="00BE7746"/>
    <w:rsid w:val="00BE7E8C"/>
    <w:rsid w:val="00BF058E"/>
    <w:rsid w:val="00BF1DA4"/>
    <w:rsid w:val="00BF37ED"/>
    <w:rsid w:val="00BF3C85"/>
    <w:rsid w:val="00BF5B78"/>
    <w:rsid w:val="00BF63C2"/>
    <w:rsid w:val="00C00E9B"/>
    <w:rsid w:val="00C00F77"/>
    <w:rsid w:val="00C01A55"/>
    <w:rsid w:val="00C0380B"/>
    <w:rsid w:val="00C05705"/>
    <w:rsid w:val="00C061F3"/>
    <w:rsid w:val="00C06B23"/>
    <w:rsid w:val="00C1023D"/>
    <w:rsid w:val="00C104AA"/>
    <w:rsid w:val="00C15931"/>
    <w:rsid w:val="00C202D8"/>
    <w:rsid w:val="00C2087B"/>
    <w:rsid w:val="00C218E5"/>
    <w:rsid w:val="00C221B9"/>
    <w:rsid w:val="00C247F0"/>
    <w:rsid w:val="00C24E3C"/>
    <w:rsid w:val="00C25131"/>
    <w:rsid w:val="00C25242"/>
    <w:rsid w:val="00C274D8"/>
    <w:rsid w:val="00C30703"/>
    <w:rsid w:val="00C32F02"/>
    <w:rsid w:val="00C33A54"/>
    <w:rsid w:val="00C34A3E"/>
    <w:rsid w:val="00C34AD5"/>
    <w:rsid w:val="00C34F3B"/>
    <w:rsid w:val="00C36395"/>
    <w:rsid w:val="00C369F3"/>
    <w:rsid w:val="00C37926"/>
    <w:rsid w:val="00C37AA9"/>
    <w:rsid w:val="00C37EBF"/>
    <w:rsid w:val="00C408B8"/>
    <w:rsid w:val="00C41C4E"/>
    <w:rsid w:val="00C4345F"/>
    <w:rsid w:val="00C438B0"/>
    <w:rsid w:val="00C43942"/>
    <w:rsid w:val="00C442CB"/>
    <w:rsid w:val="00C45158"/>
    <w:rsid w:val="00C478E4"/>
    <w:rsid w:val="00C542B4"/>
    <w:rsid w:val="00C54647"/>
    <w:rsid w:val="00C54D77"/>
    <w:rsid w:val="00C558FF"/>
    <w:rsid w:val="00C55A32"/>
    <w:rsid w:val="00C56222"/>
    <w:rsid w:val="00C5708E"/>
    <w:rsid w:val="00C57221"/>
    <w:rsid w:val="00C60DB1"/>
    <w:rsid w:val="00C6348C"/>
    <w:rsid w:val="00C64842"/>
    <w:rsid w:val="00C64D6E"/>
    <w:rsid w:val="00C70419"/>
    <w:rsid w:val="00C70579"/>
    <w:rsid w:val="00C70E80"/>
    <w:rsid w:val="00C7143E"/>
    <w:rsid w:val="00C71C4C"/>
    <w:rsid w:val="00C7256A"/>
    <w:rsid w:val="00C74C86"/>
    <w:rsid w:val="00C7513C"/>
    <w:rsid w:val="00C75A8B"/>
    <w:rsid w:val="00C7796C"/>
    <w:rsid w:val="00C81B1E"/>
    <w:rsid w:val="00C8266B"/>
    <w:rsid w:val="00C843CF"/>
    <w:rsid w:val="00C855BF"/>
    <w:rsid w:val="00C8710D"/>
    <w:rsid w:val="00C87850"/>
    <w:rsid w:val="00C927D0"/>
    <w:rsid w:val="00C92FF0"/>
    <w:rsid w:val="00C94B57"/>
    <w:rsid w:val="00C959D2"/>
    <w:rsid w:val="00C972C2"/>
    <w:rsid w:val="00C97838"/>
    <w:rsid w:val="00C97BB6"/>
    <w:rsid w:val="00C97F74"/>
    <w:rsid w:val="00CA1172"/>
    <w:rsid w:val="00CA268F"/>
    <w:rsid w:val="00CA43AC"/>
    <w:rsid w:val="00CA479A"/>
    <w:rsid w:val="00CA4AF7"/>
    <w:rsid w:val="00CA7666"/>
    <w:rsid w:val="00CA7813"/>
    <w:rsid w:val="00CB051B"/>
    <w:rsid w:val="00CB06B9"/>
    <w:rsid w:val="00CB0B2C"/>
    <w:rsid w:val="00CB1A57"/>
    <w:rsid w:val="00CC18B3"/>
    <w:rsid w:val="00CC2A48"/>
    <w:rsid w:val="00CC3A5F"/>
    <w:rsid w:val="00CC7A48"/>
    <w:rsid w:val="00CD078D"/>
    <w:rsid w:val="00CD2DE2"/>
    <w:rsid w:val="00CD4A56"/>
    <w:rsid w:val="00CD5460"/>
    <w:rsid w:val="00CD5B17"/>
    <w:rsid w:val="00CD673B"/>
    <w:rsid w:val="00CD7882"/>
    <w:rsid w:val="00CE182A"/>
    <w:rsid w:val="00CE30A9"/>
    <w:rsid w:val="00CE3770"/>
    <w:rsid w:val="00CE5BF8"/>
    <w:rsid w:val="00CF1CBB"/>
    <w:rsid w:val="00CF4050"/>
    <w:rsid w:val="00CF40C2"/>
    <w:rsid w:val="00CF6EE0"/>
    <w:rsid w:val="00CF7740"/>
    <w:rsid w:val="00D00912"/>
    <w:rsid w:val="00D01637"/>
    <w:rsid w:val="00D02685"/>
    <w:rsid w:val="00D02859"/>
    <w:rsid w:val="00D02F5C"/>
    <w:rsid w:val="00D057B2"/>
    <w:rsid w:val="00D1260C"/>
    <w:rsid w:val="00D12977"/>
    <w:rsid w:val="00D13012"/>
    <w:rsid w:val="00D153E5"/>
    <w:rsid w:val="00D16191"/>
    <w:rsid w:val="00D167A1"/>
    <w:rsid w:val="00D1732F"/>
    <w:rsid w:val="00D21DD0"/>
    <w:rsid w:val="00D22BCF"/>
    <w:rsid w:val="00D246F3"/>
    <w:rsid w:val="00D25282"/>
    <w:rsid w:val="00D277D0"/>
    <w:rsid w:val="00D27822"/>
    <w:rsid w:val="00D3069F"/>
    <w:rsid w:val="00D30972"/>
    <w:rsid w:val="00D31065"/>
    <w:rsid w:val="00D370FF"/>
    <w:rsid w:val="00D37709"/>
    <w:rsid w:val="00D4344A"/>
    <w:rsid w:val="00D463E6"/>
    <w:rsid w:val="00D465AC"/>
    <w:rsid w:val="00D51A0F"/>
    <w:rsid w:val="00D52ED1"/>
    <w:rsid w:val="00D55E74"/>
    <w:rsid w:val="00D57E3B"/>
    <w:rsid w:val="00D57EB3"/>
    <w:rsid w:val="00D614EF"/>
    <w:rsid w:val="00D62C0C"/>
    <w:rsid w:val="00D62EF1"/>
    <w:rsid w:val="00D633DC"/>
    <w:rsid w:val="00D64E87"/>
    <w:rsid w:val="00D65F54"/>
    <w:rsid w:val="00D66122"/>
    <w:rsid w:val="00D66501"/>
    <w:rsid w:val="00D668DE"/>
    <w:rsid w:val="00D67564"/>
    <w:rsid w:val="00D67F2A"/>
    <w:rsid w:val="00D720C4"/>
    <w:rsid w:val="00D72523"/>
    <w:rsid w:val="00D73A34"/>
    <w:rsid w:val="00D73B91"/>
    <w:rsid w:val="00D74D5F"/>
    <w:rsid w:val="00D80311"/>
    <w:rsid w:val="00D86366"/>
    <w:rsid w:val="00D863D0"/>
    <w:rsid w:val="00D86AB9"/>
    <w:rsid w:val="00D901DE"/>
    <w:rsid w:val="00D903D7"/>
    <w:rsid w:val="00D93C0D"/>
    <w:rsid w:val="00D95A0D"/>
    <w:rsid w:val="00D96D5D"/>
    <w:rsid w:val="00D96E1E"/>
    <w:rsid w:val="00D97789"/>
    <w:rsid w:val="00DA2665"/>
    <w:rsid w:val="00DA5D6A"/>
    <w:rsid w:val="00DA6197"/>
    <w:rsid w:val="00DB046F"/>
    <w:rsid w:val="00DB14A9"/>
    <w:rsid w:val="00DB30D4"/>
    <w:rsid w:val="00DB59C4"/>
    <w:rsid w:val="00DB7658"/>
    <w:rsid w:val="00DC34E1"/>
    <w:rsid w:val="00DC3DAB"/>
    <w:rsid w:val="00DC3DBA"/>
    <w:rsid w:val="00DC4A0A"/>
    <w:rsid w:val="00DC5D2F"/>
    <w:rsid w:val="00DC66B7"/>
    <w:rsid w:val="00DD05F4"/>
    <w:rsid w:val="00DD0876"/>
    <w:rsid w:val="00DD10F8"/>
    <w:rsid w:val="00DD3CB8"/>
    <w:rsid w:val="00DD41F8"/>
    <w:rsid w:val="00DD5C73"/>
    <w:rsid w:val="00DD6B1A"/>
    <w:rsid w:val="00DD6F35"/>
    <w:rsid w:val="00DE61AC"/>
    <w:rsid w:val="00DE7BF6"/>
    <w:rsid w:val="00DE7C96"/>
    <w:rsid w:val="00DF1DE4"/>
    <w:rsid w:val="00DF284E"/>
    <w:rsid w:val="00DF33D7"/>
    <w:rsid w:val="00DF35B4"/>
    <w:rsid w:val="00DF40A3"/>
    <w:rsid w:val="00DF447E"/>
    <w:rsid w:val="00DF5169"/>
    <w:rsid w:val="00DF54A8"/>
    <w:rsid w:val="00DF71A5"/>
    <w:rsid w:val="00E00840"/>
    <w:rsid w:val="00E01772"/>
    <w:rsid w:val="00E0230B"/>
    <w:rsid w:val="00E02D10"/>
    <w:rsid w:val="00E0330B"/>
    <w:rsid w:val="00E041CC"/>
    <w:rsid w:val="00E052C3"/>
    <w:rsid w:val="00E05805"/>
    <w:rsid w:val="00E07C72"/>
    <w:rsid w:val="00E10039"/>
    <w:rsid w:val="00E110F5"/>
    <w:rsid w:val="00E12A96"/>
    <w:rsid w:val="00E166E3"/>
    <w:rsid w:val="00E17420"/>
    <w:rsid w:val="00E17A60"/>
    <w:rsid w:val="00E17B69"/>
    <w:rsid w:val="00E20AEB"/>
    <w:rsid w:val="00E22123"/>
    <w:rsid w:val="00E234FE"/>
    <w:rsid w:val="00E235C9"/>
    <w:rsid w:val="00E2385E"/>
    <w:rsid w:val="00E24133"/>
    <w:rsid w:val="00E2445D"/>
    <w:rsid w:val="00E2494F"/>
    <w:rsid w:val="00E24CD2"/>
    <w:rsid w:val="00E2610E"/>
    <w:rsid w:val="00E26187"/>
    <w:rsid w:val="00E26D5D"/>
    <w:rsid w:val="00E30D59"/>
    <w:rsid w:val="00E31ED2"/>
    <w:rsid w:val="00E32AE6"/>
    <w:rsid w:val="00E32B17"/>
    <w:rsid w:val="00E34B15"/>
    <w:rsid w:val="00E369A4"/>
    <w:rsid w:val="00E37594"/>
    <w:rsid w:val="00E40C6D"/>
    <w:rsid w:val="00E417BE"/>
    <w:rsid w:val="00E444D2"/>
    <w:rsid w:val="00E44EB3"/>
    <w:rsid w:val="00E4528D"/>
    <w:rsid w:val="00E4538F"/>
    <w:rsid w:val="00E4783C"/>
    <w:rsid w:val="00E47F75"/>
    <w:rsid w:val="00E502C1"/>
    <w:rsid w:val="00E50469"/>
    <w:rsid w:val="00E5299A"/>
    <w:rsid w:val="00E5343E"/>
    <w:rsid w:val="00E5467C"/>
    <w:rsid w:val="00E55051"/>
    <w:rsid w:val="00E56B14"/>
    <w:rsid w:val="00E56B28"/>
    <w:rsid w:val="00E57D1C"/>
    <w:rsid w:val="00E6068C"/>
    <w:rsid w:val="00E62D13"/>
    <w:rsid w:val="00E643FB"/>
    <w:rsid w:val="00E65308"/>
    <w:rsid w:val="00E6596A"/>
    <w:rsid w:val="00E66D68"/>
    <w:rsid w:val="00E727E2"/>
    <w:rsid w:val="00E8022C"/>
    <w:rsid w:val="00E8136A"/>
    <w:rsid w:val="00E82DA5"/>
    <w:rsid w:val="00E839FB"/>
    <w:rsid w:val="00E85241"/>
    <w:rsid w:val="00E87329"/>
    <w:rsid w:val="00E87527"/>
    <w:rsid w:val="00E90274"/>
    <w:rsid w:val="00E9604D"/>
    <w:rsid w:val="00E96DFE"/>
    <w:rsid w:val="00EA1B20"/>
    <w:rsid w:val="00EA1BCA"/>
    <w:rsid w:val="00EA20D0"/>
    <w:rsid w:val="00EA2463"/>
    <w:rsid w:val="00EA2591"/>
    <w:rsid w:val="00EA3680"/>
    <w:rsid w:val="00EA568E"/>
    <w:rsid w:val="00EA5C53"/>
    <w:rsid w:val="00EA5D75"/>
    <w:rsid w:val="00EA666C"/>
    <w:rsid w:val="00EA76F9"/>
    <w:rsid w:val="00EB01D9"/>
    <w:rsid w:val="00EB0B67"/>
    <w:rsid w:val="00EB0F79"/>
    <w:rsid w:val="00EB115B"/>
    <w:rsid w:val="00EB13D4"/>
    <w:rsid w:val="00EB2432"/>
    <w:rsid w:val="00EB3B49"/>
    <w:rsid w:val="00EB3DF7"/>
    <w:rsid w:val="00EB449F"/>
    <w:rsid w:val="00EB576D"/>
    <w:rsid w:val="00EB7462"/>
    <w:rsid w:val="00EB7BDA"/>
    <w:rsid w:val="00EC069E"/>
    <w:rsid w:val="00EC1E84"/>
    <w:rsid w:val="00EC261E"/>
    <w:rsid w:val="00EC49F8"/>
    <w:rsid w:val="00ED0192"/>
    <w:rsid w:val="00ED2539"/>
    <w:rsid w:val="00ED456E"/>
    <w:rsid w:val="00ED5F71"/>
    <w:rsid w:val="00ED64A7"/>
    <w:rsid w:val="00ED7D62"/>
    <w:rsid w:val="00EE077D"/>
    <w:rsid w:val="00EE0ED3"/>
    <w:rsid w:val="00EE0F34"/>
    <w:rsid w:val="00EE1189"/>
    <w:rsid w:val="00EE1EA3"/>
    <w:rsid w:val="00EE2033"/>
    <w:rsid w:val="00EE2138"/>
    <w:rsid w:val="00EE2651"/>
    <w:rsid w:val="00EE347A"/>
    <w:rsid w:val="00EE6FE4"/>
    <w:rsid w:val="00EF05FE"/>
    <w:rsid w:val="00EF165B"/>
    <w:rsid w:val="00EF18FA"/>
    <w:rsid w:val="00EF2745"/>
    <w:rsid w:val="00EF4C62"/>
    <w:rsid w:val="00EF4F77"/>
    <w:rsid w:val="00EF6372"/>
    <w:rsid w:val="00EF63AF"/>
    <w:rsid w:val="00EF69D4"/>
    <w:rsid w:val="00EF7126"/>
    <w:rsid w:val="00EF7A29"/>
    <w:rsid w:val="00EF7B87"/>
    <w:rsid w:val="00F00489"/>
    <w:rsid w:val="00F005BA"/>
    <w:rsid w:val="00F0227E"/>
    <w:rsid w:val="00F029FF"/>
    <w:rsid w:val="00F03222"/>
    <w:rsid w:val="00F03CA7"/>
    <w:rsid w:val="00F03E32"/>
    <w:rsid w:val="00F0481D"/>
    <w:rsid w:val="00F06CAE"/>
    <w:rsid w:val="00F0747A"/>
    <w:rsid w:val="00F07FE9"/>
    <w:rsid w:val="00F108E6"/>
    <w:rsid w:val="00F10AEC"/>
    <w:rsid w:val="00F10B98"/>
    <w:rsid w:val="00F12A66"/>
    <w:rsid w:val="00F13264"/>
    <w:rsid w:val="00F14350"/>
    <w:rsid w:val="00F147EC"/>
    <w:rsid w:val="00F14EA1"/>
    <w:rsid w:val="00F1554C"/>
    <w:rsid w:val="00F1592D"/>
    <w:rsid w:val="00F15B81"/>
    <w:rsid w:val="00F16BC8"/>
    <w:rsid w:val="00F16C74"/>
    <w:rsid w:val="00F17AE5"/>
    <w:rsid w:val="00F17C52"/>
    <w:rsid w:val="00F201F7"/>
    <w:rsid w:val="00F2144B"/>
    <w:rsid w:val="00F22BD8"/>
    <w:rsid w:val="00F237EB"/>
    <w:rsid w:val="00F241D9"/>
    <w:rsid w:val="00F24CE8"/>
    <w:rsid w:val="00F25904"/>
    <w:rsid w:val="00F25BD3"/>
    <w:rsid w:val="00F31F3F"/>
    <w:rsid w:val="00F322A5"/>
    <w:rsid w:val="00F32F5B"/>
    <w:rsid w:val="00F33E9C"/>
    <w:rsid w:val="00F34493"/>
    <w:rsid w:val="00F35B1D"/>
    <w:rsid w:val="00F36237"/>
    <w:rsid w:val="00F40E91"/>
    <w:rsid w:val="00F4327D"/>
    <w:rsid w:val="00F43BBD"/>
    <w:rsid w:val="00F43CD3"/>
    <w:rsid w:val="00F44099"/>
    <w:rsid w:val="00F45369"/>
    <w:rsid w:val="00F47C13"/>
    <w:rsid w:val="00F50268"/>
    <w:rsid w:val="00F50E42"/>
    <w:rsid w:val="00F566E8"/>
    <w:rsid w:val="00F61E87"/>
    <w:rsid w:val="00F62E4D"/>
    <w:rsid w:val="00F64DCE"/>
    <w:rsid w:val="00F65661"/>
    <w:rsid w:val="00F732BE"/>
    <w:rsid w:val="00F751A7"/>
    <w:rsid w:val="00F75B7E"/>
    <w:rsid w:val="00F801F0"/>
    <w:rsid w:val="00F81123"/>
    <w:rsid w:val="00F811ED"/>
    <w:rsid w:val="00F82B77"/>
    <w:rsid w:val="00F83891"/>
    <w:rsid w:val="00F83A70"/>
    <w:rsid w:val="00F83E22"/>
    <w:rsid w:val="00F84A08"/>
    <w:rsid w:val="00F86068"/>
    <w:rsid w:val="00F86277"/>
    <w:rsid w:val="00F92346"/>
    <w:rsid w:val="00F926AA"/>
    <w:rsid w:val="00F93BFD"/>
    <w:rsid w:val="00F9546D"/>
    <w:rsid w:val="00F95B29"/>
    <w:rsid w:val="00F95BAC"/>
    <w:rsid w:val="00F971F2"/>
    <w:rsid w:val="00F97469"/>
    <w:rsid w:val="00FA05D7"/>
    <w:rsid w:val="00FA10B7"/>
    <w:rsid w:val="00FA1CF2"/>
    <w:rsid w:val="00FA2A4D"/>
    <w:rsid w:val="00FA3195"/>
    <w:rsid w:val="00FA3B2E"/>
    <w:rsid w:val="00FA45CA"/>
    <w:rsid w:val="00FA4760"/>
    <w:rsid w:val="00FA480A"/>
    <w:rsid w:val="00FB06B6"/>
    <w:rsid w:val="00FB2185"/>
    <w:rsid w:val="00FB2D59"/>
    <w:rsid w:val="00FB422F"/>
    <w:rsid w:val="00FB5538"/>
    <w:rsid w:val="00FB5A19"/>
    <w:rsid w:val="00FB676F"/>
    <w:rsid w:val="00FB70FE"/>
    <w:rsid w:val="00FB764E"/>
    <w:rsid w:val="00FC092D"/>
    <w:rsid w:val="00FC0DA3"/>
    <w:rsid w:val="00FC1764"/>
    <w:rsid w:val="00FC2293"/>
    <w:rsid w:val="00FC2683"/>
    <w:rsid w:val="00FC646A"/>
    <w:rsid w:val="00FD1D7F"/>
    <w:rsid w:val="00FD2053"/>
    <w:rsid w:val="00FD212F"/>
    <w:rsid w:val="00FD5524"/>
    <w:rsid w:val="00FD5B5F"/>
    <w:rsid w:val="00FD63CF"/>
    <w:rsid w:val="00FD76BC"/>
    <w:rsid w:val="00FE0244"/>
    <w:rsid w:val="00FE3386"/>
    <w:rsid w:val="00FE386C"/>
    <w:rsid w:val="00FE4BA5"/>
    <w:rsid w:val="00FE4CA2"/>
    <w:rsid w:val="00FE5213"/>
    <w:rsid w:val="00FE546F"/>
    <w:rsid w:val="00FE6D24"/>
    <w:rsid w:val="00FE70FE"/>
    <w:rsid w:val="00FE780B"/>
    <w:rsid w:val="00FF0104"/>
    <w:rsid w:val="00FF043A"/>
    <w:rsid w:val="00FF14AB"/>
    <w:rsid w:val="00FF1887"/>
    <w:rsid w:val="00FF21CE"/>
    <w:rsid w:val="00FF2311"/>
    <w:rsid w:val="00FF313B"/>
    <w:rsid w:val="00FF408A"/>
    <w:rsid w:val="00FF4740"/>
    <w:rsid w:val="00FF60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07418"/>
  <w15:docId w15:val="{0B0A5861-A942-43E5-8F25-084A2AD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97"/>
    <w:pPr>
      <w:spacing w:line="360" w:lineRule="auto"/>
    </w:pPr>
    <w:rPr>
      <w:rFonts w:ascii="Lato" w:eastAsia="Times New Roman" w:hAnsi="Lato" w:cs="Times New Roman"/>
      <w:color w:val="0D3E76"/>
      <w:sz w:val="24"/>
      <w:szCs w:val="24"/>
      <w:lang w:val="en-US" w:eastAsia="en-GB"/>
    </w:rPr>
  </w:style>
  <w:style w:type="paragraph" w:styleId="Heading1">
    <w:name w:val="heading 1"/>
    <w:basedOn w:val="Normal"/>
    <w:next w:val="Normal"/>
    <w:link w:val="Heading1Char"/>
    <w:uiPriority w:val="9"/>
    <w:qFormat/>
    <w:rsid w:val="00C1023D"/>
    <w:pPr>
      <w:keepNext/>
      <w:keepLines/>
      <w:numPr>
        <w:numId w:val="37"/>
      </w:numPr>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FB5A19"/>
    <w:pPr>
      <w:keepNext/>
      <w:keepLines/>
      <w:numPr>
        <w:ilvl w:val="1"/>
        <w:numId w:val="37"/>
      </w:numPr>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50816"/>
    <w:pPr>
      <w:keepNext/>
      <w:keepLines/>
      <w:numPr>
        <w:ilvl w:val="2"/>
        <w:numId w:val="37"/>
      </w:numPr>
      <w:spacing w:before="40"/>
      <w:outlineLvl w:val="2"/>
    </w:pPr>
    <w:rPr>
      <w:rFonts w:eastAsiaTheme="majorEastAsia" w:cstheme="majorBidi"/>
      <w:b/>
      <w:color w:val="1F3763" w:themeColor="accent1" w:themeShade="7F"/>
      <w:u w:val="single"/>
    </w:rPr>
  </w:style>
  <w:style w:type="paragraph" w:styleId="Heading4">
    <w:name w:val="heading 4"/>
    <w:basedOn w:val="Normal"/>
    <w:next w:val="Normal"/>
    <w:link w:val="Heading4Char"/>
    <w:uiPriority w:val="9"/>
    <w:unhideWhenUsed/>
    <w:qFormat/>
    <w:rsid w:val="00FF2311"/>
    <w:pPr>
      <w:keepNext/>
      <w:keepLines/>
      <w:numPr>
        <w:ilvl w:val="3"/>
        <w:numId w:val="3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7683"/>
    <w:pPr>
      <w:keepNext/>
      <w:keepLines/>
      <w:numPr>
        <w:ilvl w:val="4"/>
        <w:numId w:val="3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7683"/>
    <w:pPr>
      <w:keepNext/>
      <w:keepLines/>
      <w:numPr>
        <w:ilvl w:val="5"/>
        <w:numId w:val="3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7683"/>
    <w:pPr>
      <w:keepNext/>
      <w:keepLines/>
      <w:numPr>
        <w:ilvl w:val="6"/>
        <w:numId w:val="3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7683"/>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7683"/>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02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202E3"/>
    <w:rPr>
      <w:rFonts w:eastAsiaTheme="minorEastAsia"/>
      <w:lang w:val="en-US"/>
    </w:rPr>
  </w:style>
  <w:style w:type="character" w:customStyle="1" w:styleId="Heading1Char">
    <w:name w:val="Heading 1 Char"/>
    <w:basedOn w:val="DefaultParagraphFont"/>
    <w:link w:val="Heading1"/>
    <w:uiPriority w:val="9"/>
    <w:rsid w:val="00C1023D"/>
    <w:rPr>
      <w:rFonts w:ascii="Lato" w:eastAsiaTheme="majorEastAsia" w:hAnsi="Lato" w:cstheme="majorBidi"/>
      <w:b/>
      <w:color w:val="0D3E76"/>
      <w:sz w:val="32"/>
      <w:szCs w:val="32"/>
      <w:u w:val="single"/>
      <w:lang w:eastAsia="en-GB"/>
    </w:rPr>
  </w:style>
  <w:style w:type="character" w:customStyle="1" w:styleId="Heading2Char">
    <w:name w:val="Heading 2 Char"/>
    <w:basedOn w:val="DefaultParagraphFont"/>
    <w:link w:val="Heading2"/>
    <w:uiPriority w:val="9"/>
    <w:rsid w:val="00FB5A19"/>
    <w:rPr>
      <w:rFonts w:ascii="Lato" w:eastAsiaTheme="majorEastAsia" w:hAnsi="Lato" w:cstheme="majorBidi"/>
      <w:b/>
      <w:color w:val="0D3E76"/>
      <w:sz w:val="26"/>
      <w:szCs w:val="26"/>
      <w:lang w:eastAsia="en-GB"/>
    </w:rPr>
  </w:style>
  <w:style w:type="character" w:styleId="Hyperlink">
    <w:name w:val="Hyperlink"/>
    <w:basedOn w:val="DefaultParagraphFont"/>
    <w:uiPriority w:val="99"/>
    <w:unhideWhenUsed/>
    <w:rsid w:val="006202E3"/>
    <w:rPr>
      <w:color w:val="0563C1" w:themeColor="hyperlink"/>
      <w:u w:val="single"/>
    </w:rPr>
  </w:style>
  <w:style w:type="character" w:styleId="FootnoteReference">
    <w:name w:val="footnote reference"/>
    <w:basedOn w:val="DefaultParagraphFont"/>
    <w:uiPriority w:val="99"/>
    <w:semiHidden/>
    <w:unhideWhenUsed/>
    <w:rsid w:val="006202E3"/>
    <w:rPr>
      <w:vertAlign w:val="superscript"/>
    </w:rPr>
  </w:style>
  <w:style w:type="paragraph" w:styleId="FootnoteText">
    <w:name w:val="footnote text"/>
    <w:basedOn w:val="Normal"/>
    <w:link w:val="FootnoteTextChar"/>
    <w:uiPriority w:val="99"/>
    <w:unhideWhenUsed/>
    <w:rsid w:val="006202E3"/>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202E3"/>
    <w:rPr>
      <w:rFonts w:ascii="Calibri" w:eastAsia="Calibri" w:hAnsi="Calibri" w:cs="Times New Roman"/>
      <w:sz w:val="20"/>
      <w:szCs w:val="20"/>
    </w:rPr>
  </w:style>
  <w:style w:type="paragraph" w:styleId="ListParagraph">
    <w:name w:val="List Paragraph"/>
    <w:aliases w:val="Figure 1"/>
    <w:basedOn w:val="Normal"/>
    <w:uiPriority w:val="1"/>
    <w:qFormat/>
    <w:rsid w:val="006202E3"/>
    <w:pPr>
      <w:ind w:left="720"/>
      <w:contextualSpacing/>
    </w:pPr>
  </w:style>
  <w:style w:type="paragraph" w:styleId="Header">
    <w:name w:val="header"/>
    <w:basedOn w:val="Normal"/>
    <w:link w:val="HeaderChar"/>
    <w:uiPriority w:val="99"/>
    <w:unhideWhenUsed/>
    <w:rsid w:val="006202E3"/>
    <w:pPr>
      <w:tabs>
        <w:tab w:val="center" w:pos="4513"/>
        <w:tab w:val="right" w:pos="9026"/>
      </w:tabs>
    </w:pPr>
  </w:style>
  <w:style w:type="character" w:customStyle="1" w:styleId="HeaderChar">
    <w:name w:val="Header Char"/>
    <w:basedOn w:val="DefaultParagraphFont"/>
    <w:link w:val="Header"/>
    <w:uiPriority w:val="99"/>
    <w:rsid w:val="006202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qFormat/>
    <w:rsid w:val="006202E3"/>
    <w:pPr>
      <w:tabs>
        <w:tab w:val="center" w:pos="4513"/>
        <w:tab w:val="right" w:pos="9026"/>
      </w:tabs>
    </w:pPr>
  </w:style>
  <w:style w:type="character" w:customStyle="1" w:styleId="FooterChar">
    <w:name w:val="Footer Char"/>
    <w:basedOn w:val="DefaultParagraphFont"/>
    <w:link w:val="Footer"/>
    <w:uiPriority w:val="99"/>
    <w:rsid w:val="006202E3"/>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6202E3"/>
    <w:pPr>
      <w:spacing w:line="259" w:lineRule="auto"/>
      <w:outlineLvl w:val="9"/>
    </w:pPr>
    <w:rPr>
      <w:lang w:eastAsia="en-US"/>
    </w:rPr>
  </w:style>
  <w:style w:type="paragraph" w:styleId="TOC1">
    <w:name w:val="toc 1"/>
    <w:basedOn w:val="Normal"/>
    <w:next w:val="Normal"/>
    <w:autoRedefine/>
    <w:uiPriority w:val="39"/>
    <w:unhideWhenUsed/>
    <w:rsid w:val="00B22211"/>
    <w:pPr>
      <w:tabs>
        <w:tab w:val="right" w:leader="dot" w:pos="10070"/>
      </w:tabs>
      <w:spacing w:after="100"/>
    </w:pPr>
  </w:style>
  <w:style w:type="paragraph" w:styleId="TOC2">
    <w:name w:val="toc 2"/>
    <w:basedOn w:val="Normal"/>
    <w:next w:val="Normal"/>
    <w:autoRedefine/>
    <w:uiPriority w:val="39"/>
    <w:unhideWhenUsed/>
    <w:rsid w:val="00962FAC"/>
    <w:pPr>
      <w:tabs>
        <w:tab w:val="right" w:leader="dot" w:pos="9736"/>
      </w:tabs>
      <w:spacing w:after="100" w:line="240" w:lineRule="auto"/>
      <w:ind w:left="238"/>
    </w:pPr>
    <w:rPr>
      <w:noProof/>
    </w:rPr>
  </w:style>
  <w:style w:type="character" w:customStyle="1" w:styleId="markedcontent">
    <w:name w:val="markedcontent"/>
    <w:basedOn w:val="DefaultParagraphFont"/>
    <w:rsid w:val="009914B6"/>
  </w:style>
  <w:style w:type="character" w:customStyle="1" w:styleId="highlight">
    <w:name w:val="highlight"/>
    <w:basedOn w:val="DefaultParagraphFont"/>
    <w:rsid w:val="009914B6"/>
  </w:style>
  <w:style w:type="character" w:styleId="UnresolvedMention">
    <w:name w:val="Unresolved Mention"/>
    <w:basedOn w:val="DefaultParagraphFont"/>
    <w:uiPriority w:val="99"/>
    <w:semiHidden/>
    <w:unhideWhenUsed/>
    <w:rsid w:val="00F83891"/>
    <w:rPr>
      <w:color w:val="605E5C"/>
      <w:shd w:val="clear" w:color="auto" w:fill="E1DFDD"/>
    </w:rPr>
  </w:style>
  <w:style w:type="character" w:styleId="Emphasis">
    <w:name w:val="Emphasis"/>
    <w:basedOn w:val="DefaultParagraphFont"/>
    <w:uiPriority w:val="20"/>
    <w:qFormat/>
    <w:rsid w:val="00FA45CA"/>
    <w:rPr>
      <w:i/>
      <w:iCs/>
    </w:rPr>
  </w:style>
  <w:style w:type="paragraph" w:styleId="Revision">
    <w:name w:val="Revision"/>
    <w:hidden/>
    <w:uiPriority w:val="99"/>
    <w:semiHidden/>
    <w:rsid w:val="00B7175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D246F3"/>
    <w:pPr>
      <w:autoSpaceDE w:val="0"/>
      <w:autoSpaceDN w:val="0"/>
      <w:adjustRightInd w:val="0"/>
      <w:spacing w:after="0" w:line="240" w:lineRule="auto"/>
    </w:pPr>
    <w:rPr>
      <w:rFonts w:ascii="JTFQY Z+ St Ryde" w:hAnsi="JTFQY Z+ St Ryde" w:cs="JTFQY Z+ St Ryde"/>
      <w:color w:val="000000"/>
      <w:sz w:val="24"/>
      <w:szCs w:val="24"/>
    </w:rPr>
  </w:style>
  <w:style w:type="character" w:customStyle="1" w:styleId="Heading3Char">
    <w:name w:val="Heading 3 Char"/>
    <w:basedOn w:val="DefaultParagraphFont"/>
    <w:link w:val="Heading3"/>
    <w:uiPriority w:val="9"/>
    <w:rsid w:val="00350816"/>
    <w:rPr>
      <w:rFonts w:ascii="Lato" w:eastAsiaTheme="majorEastAsia" w:hAnsi="Lato" w:cstheme="majorBidi"/>
      <w:b/>
      <w:color w:val="1F3763" w:themeColor="accent1" w:themeShade="7F"/>
      <w:sz w:val="24"/>
      <w:szCs w:val="24"/>
      <w:u w:val="single"/>
      <w:lang w:eastAsia="en-GB"/>
    </w:rPr>
  </w:style>
  <w:style w:type="paragraph" w:styleId="TOC3">
    <w:name w:val="toc 3"/>
    <w:basedOn w:val="Normal"/>
    <w:next w:val="Normal"/>
    <w:autoRedefine/>
    <w:uiPriority w:val="39"/>
    <w:unhideWhenUsed/>
    <w:rsid w:val="001C6839"/>
    <w:pPr>
      <w:tabs>
        <w:tab w:val="right" w:leader="dot" w:pos="10070"/>
      </w:tabs>
      <w:spacing w:after="100" w:line="480" w:lineRule="auto"/>
      <w:ind w:left="480"/>
      <w:jc w:val="right"/>
    </w:pPr>
  </w:style>
  <w:style w:type="character" w:styleId="CommentReference">
    <w:name w:val="annotation reference"/>
    <w:basedOn w:val="DefaultParagraphFont"/>
    <w:uiPriority w:val="99"/>
    <w:semiHidden/>
    <w:unhideWhenUsed/>
    <w:rsid w:val="007C58EA"/>
    <w:rPr>
      <w:sz w:val="16"/>
      <w:szCs w:val="16"/>
    </w:rPr>
  </w:style>
  <w:style w:type="paragraph" w:styleId="CommentText">
    <w:name w:val="annotation text"/>
    <w:basedOn w:val="Normal"/>
    <w:link w:val="CommentTextChar"/>
    <w:uiPriority w:val="99"/>
    <w:unhideWhenUsed/>
    <w:rsid w:val="007C58EA"/>
    <w:rPr>
      <w:sz w:val="20"/>
      <w:szCs w:val="20"/>
    </w:rPr>
  </w:style>
  <w:style w:type="character" w:customStyle="1" w:styleId="CommentTextChar">
    <w:name w:val="Comment Text Char"/>
    <w:basedOn w:val="DefaultParagraphFont"/>
    <w:link w:val="CommentText"/>
    <w:uiPriority w:val="99"/>
    <w:rsid w:val="007C58E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C58EA"/>
    <w:rPr>
      <w:b/>
      <w:bCs/>
    </w:rPr>
  </w:style>
  <w:style w:type="character" w:customStyle="1" w:styleId="CommentSubjectChar">
    <w:name w:val="Comment Subject Char"/>
    <w:basedOn w:val="CommentTextChar"/>
    <w:link w:val="CommentSubject"/>
    <w:uiPriority w:val="99"/>
    <w:semiHidden/>
    <w:rsid w:val="007C58EA"/>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653EFB"/>
    <w:pPr>
      <w:spacing w:after="0" w:line="240" w:lineRule="auto"/>
    </w:pPr>
    <w:rPr>
      <w:rFonts w:asciiTheme="minorHAnsi" w:eastAsiaTheme="minorHAnsi" w:hAnsiTheme="minorHAnsi" w:cstheme="minorBidi"/>
      <w:color w:val="auto"/>
      <w:sz w:val="20"/>
      <w:szCs w:val="20"/>
      <w:lang w:val="en-IE" w:eastAsia="en-US"/>
    </w:rPr>
  </w:style>
  <w:style w:type="character" w:customStyle="1" w:styleId="EndnoteTextChar">
    <w:name w:val="Endnote Text Char"/>
    <w:basedOn w:val="DefaultParagraphFont"/>
    <w:link w:val="EndnoteText"/>
    <w:uiPriority w:val="99"/>
    <w:semiHidden/>
    <w:rsid w:val="00653EFB"/>
    <w:rPr>
      <w:sz w:val="20"/>
      <w:szCs w:val="20"/>
    </w:rPr>
  </w:style>
  <w:style w:type="character" w:styleId="EndnoteReference">
    <w:name w:val="endnote reference"/>
    <w:basedOn w:val="DefaultParagraphFont"/>
    <w:uiPriority w:val="99"/>
    <w:semiHidden/>
    <w:unhideWhenUsed/>
    <w:rsid w:val="00653EFB"/>
    <w:rPr>
      <w:vertAlign w:val="superscript"/>
    </w:rPr>
  </w:style>
  <w:style w:type="character" w:styleId="FollowedHyperlink">
    <w:name w:val="FollowedHyperlink"/>
    <w:basedOn w:val="DefaultParagraphFont"/>
    <w:uiPriority w:val="99"/>
    <w:semiHidden/>
    <w:unhideWhenUsed/>
    <w:rsid w:val="00433B72"/>
    <w:rPr>
      <w:color w:val="954F72" w:themeColor="followedHyperlink"/>
      <w:u w:val="single"/>
    </w:rPr>
  </w:style>
  <w:style w:type="paragraph" w:customStyle="1" w:styleId="TableParagraph">
    <w:name w:val="Table Paragraph"/>
    <w:basedOn w:val="Normal"/>
    <w:uiPriority w:val="1"/>
    <w:qFormat/>
    <w:rsid w:val="002133AE"/>
    <w:pPr>
      <w:widowControl w:val="0"/>
      <w:spacing w:after="0" w:line="240" w:lineRule="auto"/>
    </w:pPr>
    <w:rPr>
      <w:rFonts w:asciiTheme="minorHAnsi" w:eastAsiaTheme="minorHAnsi" w:hAnsiTheme="minorHAnsi" w:cstheme="minorBidi"/>
      <w:color w:val="auto"/>
      <w:sz w:val="22"/>
      <w:szCs w:val="22"/>
      <w:lang w:eastAsia="en-US"/>
    </w:rPr>
  </w:style>
  <w:style w:type="paragraph" w:styleId="NormalWeb">
    <w:name w:val="Normal (Web)"/>
    <w:basedOn w:val="Normal"/>
    <w:uiPriority w:val="99"/>
    <w:semiHidden/>
    <w:unhideWhenUsed/>
    <w:rsid w:val="00563704"/>
    <w:rPr>
      <w:rFonts w:ascii="Times New Roman" w:hAnsi="Times New Roman"/>
    </w:rPr>
  </w:style>
  <w:style w:type="character" w:styleId="PlaceholderText">
    <w:name w:val="Placeholder Text"/>
    <w:basedOn w:val="DefaultParagraphFont"/>
    <w:uiPriority w:val="99"/>
    <w:semiHidden/>
    <w:rsid w:val="007864E4"/>
    <w:rPr>
      <w:color w:val="666666"/>
    </w:rPr>
  </w:style>
  <w:style w:type="character" w:customStyle="1" w:styleId="Heading4Char">
    <w:name w:val="Heading 4 Char"/>
    <w:basedOn w:val="DefaultParagraphFont"/>
    <w:link w:val="Heading4"/>
    <w:uiPriority w:val="9"/>
    <w:rsid w:val="00FF2311"/>
    <w:rPr>
      <w:rFonts w:asciiTheme="majorHAnsi" w:eastAsiaTheme="majorEastAsia" w:hAnsiTheme="majorHAnsi" w:cstheme="majorBidi"/>
      <w:i/>
      <w:iCs/>
      <w:color w:val="2F5496" w:themeColor="accent1" w:themeShade="BF"/>
      <w:sz w:val="24"/>
      <w:szCs w:val="24"/>
      <w:lang w:val="en-US" w:eastAsia="en-GB"/>
    </w:rPr>
  </w:style>
  <w:style w:type="paragraph" w:styleId="Subtitle">
    <w:name w:val="Subtitle"/>
    <w:basedOn w:val="Normal"/>
    <w:next w:val="Normal"/>
    <w:link w:val="SubtitleChar"/>
    <w:uiPriority w:val="11"/>
    <w:qFormat/>
    <w:rsid w:val="00154E44"/>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4E44"/>
    <w:rPr>
      <w:rFonts w:eastAsiaTheme="minorEastAsia"/>
      <w:color w:val="5A5A5A" w:themeColor="text1" w:themeTint="A5"/>
      <w:spacing w:val="15"/>
      <w:lang w:val="en-US" w:eastAsia="en-GB"/>
    </w:rPr>
  </w:style>
  <w:style w:type="paragraph" w:styleId="Title">
    <w:name w:val="Title"/>
    <w:basedOn w:val="Normal"/>
    <w:link w:val="TitleChar"/>
    <w:uiPriority w:val="10"/>
    <w:qFormat/>
    <w:rsid w:val="00474D7A"/>
    <w:pPr>
      <w:widowControl w:val="0"/>
      <w:autoSpaceDE w:val="0"/>
      <w:autoSpaceDN w:val="0"/>
      <w:spacing w:before="2" w:after="0" w:line="240" w:lineRule="auto"/>
      <w:ind w:left="477"/>
    </w:pPr>
    <w:rPr>
      <w:rFonts w:ascii="Tahoma" w:eastAsia="Tahoma" w:hAnsi="Tahoma" w:cs="Tahoma"/>
      <w:b/>
      <w:bCs/>
      <w:color w:val="auto"/>
      <w:sz w:val="52"/>
      <w:szCs w:val="52"/>
      <w:lang w:eastAsia="en-US"/>
    </w:rPr>
  </w:style>
  <w:style w:type="character" w:customStyle="1" w:styleId="TitleChar">
    <w:name w:val="Title Char"/>
    <w:basedOn w:val="DefaultParagraphFont"/>
    <w:link w:val="Title"/>
    <w:uiPriority w:val="10"/>
    <w:rsid w:val="00474D7A"/>
    <w:rPr>
      <w:rFonts w:ascii="Tahoma" w:eastAsia="Tahoma" w:hAnsi="Tahoma" w:cs="Tahoma"/>
      <w:b/>
      <w:bCs/>
      <w:sz w:val="52"/>
      <w:szCs w:val="52"/>
      <w:lang w:val="en-US"/>
    </w:rPr>
  </w:style>
  <w:style w:type="paragraph" w:styleId="BodyText">
    <w:name w:val="Body Text"/>
    <w:basedOn w:val="Normal"/>
    <w:link w:val="BodyTextChar"/>
    <w:uiPriority w:val="1"/>
    <w:qFormat/>
    <w:rsid w:val="00AD6D2E"/>
    <w:pPr>
      <w:widowControl w:val="0"/>
      <w:autoSpaceDE w:val="0"/>
      <w:autoSpaceDN w:val="0"/>
      <w:spacing w:after="0" w:line="240" w:lineRule="auto"/>
    </w:pPr>
    <w:rPr>
      <w:rFonts w:ascii="Tahoma" w:eastAsia="Tahoma" w:hAnsi="Tahoma" w:cs="Tahoma"/>
      <w:color w:val="auto"/>
      <w:sz w:val="22"/>
      <w:szCs w:val="22"/>
      <w:lang w:eastAsia="en-US"/>
    </w:rPr>
  </w:style>
  <w:style w:type="character" w:customStyle="1" w:styleId="BodyTextChar">
    <w:name w:val="Body Text Char"/>
    <w:basedOn w:val="DefaultParagraphFont"/>
    <w:link w:val="BodyText"/>
    <w:uiPriority w:val="1"/>
    <w:rsid w:val="00AD6D2E"/>
    <w:rPr>
      <w:rFonts w:ascii="Tahoma" w:eastAsia="Tahoma" w:hAnsi="Tahoma" w:cs="Tahoma"/>
      <w:lang w:val="en-US"/>
    </w:rPr>
  </w:style>
  <w:style w:type="character" w:customStyle="1" w:styleId="Heading5Char">
    <w:name w:val="Heading 5 Char"/>
    <w:basedOn w:val="DefaultParagraphFont"/>
    <w:link w:val="Heading5"/>
    <w:uiPriority w:val="9"/>
    <w:semiHidden/>
    <w:rsid w:val="00957683"/>
    <w:rPr>
      <w:rFonts w:asciiTheme="majorHAnsi" w:eastAsiaTheme="majorEastAsia" w:hAnsiTheme="majorHAnsi" w:cstheme="majorBidi"/>
      <w:color w:val="2F5496" w:themeColor="accent1" w:themeShade="BF"/>
      <w:sz w:val="24"/>
      <w:szCs w:val="24"/>
      <w:lang w:val="en-US" w:eastAsia="en-GB"/>
    </w:rPr>
  </w:style>
  <w:style w:type="character" w:customStyle="1" w:styleId="Heading6Char">
    <w:name w:val="Heading 6 Char"/>
    <w:basedOn w:val="DefaultParagraphFont"/>
    <w:link w:val="Heading6"/>
    <w:uiPriority w:val="9"/>
    <w:semiHidden/>
    <w:rsid w:val="00957683"/>
    <w:rPr>
      <w:rFonts w:asciiTheme="majorHAnsi" w:eastAsiaTheme="majorEastAsia" w:hAnsiTheme="majorHAnsi" w:cstheme="majorBidi"/>
      <w:color w:val="1F3763" w:themeColor="accent1" w:themeShade="7F"/>
      <w:sz w:val="24"/>
      <w:szCs w:val="24"/>
      <w:lang w:val="en-US" w:eastAsia="en-GB"/>
    </w:rPr>
  </w:style>
  <w:style w:type="character" w:customStyle="1" w:styleId="Heading7Char">
    <w:name w:val="Heading 7 Char"/>
    <w:basedOn w:val="DefaultParagraphFont"/>
    <w:link w:val="Heading7"/>
    <w:uiPriority w:val="9"/>
    <w:semiHidden/>
    <w:rsid w:val="00957683"/>
    <w:rPr>
      <w:rFonts w:asciiTheme="majorHAnsi" w:eastAsiaTheme="majorEastAsia" w:hAnsiTheme="majorHAnsi" w:cstheme="majorBidi"/>
      <w:i/>
      <w:iCs/>
      <w:color w:val="1F3763" w:themeColor="accent1" w:themeShade="7F"/>
      <w:sz w:val="24"/>
      <w:szCs w:val="24"/>
      <w:lang w:val="en-US" w:eastAsia="en-GB"/>
    </w:rPr>
  </w:style>
  <w:style w:type="character" w:customStyle="1" w:styleId="Heading8Char">
    <w:name w:val="Heading 8 Char"/>
    <w:basedOn w:val="DefaultParagraphFont"/>
    <w:link w:val="Heading8"/>
    <w:uiPriority w:val="9"/>
    <w:semiHidden/>
    <w:rsid w:val="00957683"/>
    <w:rPr>
      <w:rFonts w:asciiTheme="majorHAnsi" w:eastAsiaTheme="majorEastAsia" w:hAnsiTheme="majorHAnsi" w:cstheme="majorBidi"/>
      <w:color w:val="272727" w:themeColor="text1" w:themeTint="D8"/>
      <w:sz w:val="21"/>
      <w:szCs w:val="21"/>
      <w:lang w:val="en-US" w:eastAsia="en-GB"/>
    </w:rPr>
  </w:style>
  <w:style w:type="character" w:customStyle="1" w:styleId="Heading9Char">
    <w:name w:val="Heading 9 Char"/>
    <w:basedOn w:val="DefaultParagraphFont"/>
    <w:link w:val="Heading9"/>
    <w:uiPriority w:val="9"/>
    <w:semiHidden/>
    <w:rsid w:val="00957683"/>
    <w:rPr>
      <w:rFonts w:asciiTheme="majorHAnsi" w:eastAsiaTheme="majorEastAsia" w:hAnsiTheme="majorHAnsi" w:cstheme="majorBidi"/>
      <w:i/>
      <w:iCs/>
      <w:color w:val="272727" w:themeColor="text1" w:themeTint="D8"/>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41">
      <w:bodyDiv w:val="1"/>
      <w:marLeft w:val="0"/>
      <w:marRight w:val="0"/>
      <w:marTop w:val="0"/>
      <w:marBottom w:val="0"/>
      <w:divBdr>
        <w:top w:val="none" w:sz="0" w:space="0" w:color="auto"/>
        <w:left w:val="none" w:sz="0" w:space="0" w:color="auto"/>
        <w:bottom w:val="none" w:sz="0" w:space="0" w:color="auto"/>
        <w:right w:val="none" w:sz="0" w:space="0" w:color="auto"/>
      </w:divBdr>
      <w:divsChild>
        <w:div w:id="1257514310">
          <w:marLeft w:val="0"/>
          <w:marRight w:val="0"/>
          <w:marTop w:val="0"/>
          <w:marBottom w:val="0"/>
          <w:divBdr>
            <w:top w:val="none" w:sz="0" w:space="0" w:color="auto"/>
            <w:left w:val="none" w:sz="0" w:space="0" w:color="auto"/>
            <w:bottom w:val="none" w:sz="0" w:space="0" w:color="auto"/>
            <w:right w:val="none" w:sz="0" w:space="0" w:color="auto"/>
          </w:divBdr>
        </w:div>
      </w:divsChild>
    </w:div>
    <w:div w:id="62148066">
      <w:bodyDiv w:val="1"/>
      <w:marLeft w:val="0"/>
      <w:marRight w:val="0"/>
      <w:marTop w:val="0"/>
      <w:marBottom w:val="0"/>
      <w:divBdr>
        <w:top w:val="none" w:sz="0" w:space="0" w:color="auto"/>
        <w:left w:val="none" w:sz="0" w:space="0" w:color="auto"/>
        <w:bottom w:val="none" w:sz="0" w:space="0" w:color="auto"/>
        <w:right w:val="none" w:sz="0" w:space="0" w:color="auto"/>
      </w:divBdr>
    </w:div>
    <w:div w:id="64232770">
      <w:bodyDiv w:val="1"/>
      <w:marLeft w:val="0"/>
      <w:marRight w:val="0"/>
      <w:marTop w:val="0"/>
      <w:marBottom w:val="0"/>
      <w:divBdr>
        <w:top w:val="none" w:sz="0" w:space="0" w:color="auto"/>
        <w:left w:val="none" w:sz="0" w:space="0" w:color="auto"/>
        <w:bottom w:val="none" w:sz="0" w:space="0" w:color="auto"/>
        <w:right w:val="none" w:sz="0" w:space="0" w:color="auto"/>
      </w:divBdr>
    </w:div>
    <w:div w:id="79447432">
      <w:bodyDiv w:val="1"/>
      <w:marLeft w:val="0"/>
      <w:marRight w:val="0"/>
      <w:marTop w:val="0"/>
      <w:marBottom w:val="0"/>
      <w:divBdr>
        <w:top w:val="none" w:sz="0" w:space="0" w:color="auto"/>
        <w:left w:val="none" w:sz="0" w:space="0" w:color="auto"/>
        <w:bottom w:val="none" w:sz="0" w:space="0" w:color="auto"/>
        <w:right w:val="none" w:sz="0" w:space="0" w:color="auto"/>
      </w:divBdr>
    </w:div>
    <w:div w:id="107970008">
      <w:bodyDiv w:val="1"/>
      <w:marLeft w:val="0"/>
      <w:marRight w:val="0"/>
      <w:marTop w:val="0"/>
      <w:marBottom w:val="0"/>
      <w:divBdr>
        <w:top w:val="none" w:sz="0" w:space="0" w:color="auto"/>
        <w:left w:val="none" w:sz="0" w:space="0" w:color="auto"/>
        <w:bottom w:val="none" w:sz="0" w:space="0" w:color="auto"/>
        <w:right w:val="none" w:sz="0" w:space="0" w:color="auto"/>
      </w:divBdr>
    </w:div>
    <w:div w:id="141167005">
      <w:bodyDiv w:val="1"/>
      <w:marLeft w:val="0"/>
      <w:marRight w:val="0"/>
      <w:marTop w:val="0"/>
      <w:marBottom w:val="0"/>
      <w:divBdr>
        <w:top w:val="none" w:sz="0" w:space="0" w:color="auto"/>
        <w:left w:val="none" w:sz="0" w:space="0" w:color="auto"/>
        <w:bottom w:val="none" w:sz="0" w:space="0" w:color="auto"/>
        <w:right w:val="none" w:sz="0" w:space="0" w:color="auto"/>
      </w:divBdr>
    </w:div>
    <w:div w:id="254483739">
      <w:bodyDiv w:val="1"/>
      <w:marLeft w:val="0"/>
      <w:marRight w:val="0"/>
      <w:marTop w:val="0"/>
      <w:marBottom w:val="0"/>
      <w:divBdr>
        <w:top w:val="none" w:sz="0" w:space="0" w:color="auto"/>
        <w:left w:val="none" w:sz="0" w:space="0" w:color="auto"/>
        <w:bottom w:val="none" w:sz="0" w:space="0" w:color="auto"/>
        <w:right w:val="none" w:sz="0" w:space="0" w:color="auto"/>
      </w:divBdr>
      <w:divsChild>
        <w:div w:id="2142962782">
          <w:marLeft w:val="0"/>
          <w:marRight w:val="0"/>
          <w:marTop w:val="0"/>
          <w:marBottom w:val="0"/>
          <w:divBdr>
            <w:top w:val="none" w:sz="0" w:space="0" w:color="auto"/>
            <w:left w:val="none" w:sz="0" w:space="0" w:color="auto"/>
            <w:bottom w:val="none" w:sz="0" w:space="0" w:color="auto"/>
            <w:right w:val="none" w:sz="0" w:space="0" w:color="auto"/>
          </w:divBdr>
        </w:div>
        <w:div w:id="82579873">
          <w:marLeft w:val="0"/>
          <w:marRight w:val="0"/>
          <w:marTop w:val="0"/>
          <w:marBottom w:val="0"/>
          <w:divBdr>
            <w:top w:val="none" w:sz="0" w:space="0" w:color="auto"/>
            <w:left w:val="none" w:sz="0" w:space="0" w:color="auto"/>
            <w:bottom w:val="none" w:sz="0" w:space="0" w:color="auto"/>
            <w:right w:val="none" w:sz="0" w:space="0" w:color="auto"/>
          </w:divBdr>
        </w:div>
        <w:div w:id="1821076868">
          <w:marLeft w:val="0"/>
          <w:marRight w:val="0"/>
          <w:marTop w:val="0"/>
          <w:marBottom w:val="0"/>
          <w:divBdr>
            <w:top w:val="none" w:sz="0" w:space="0" w:color="auto"/>
            <w:left w:val="none" w:sz="0" w:space="0" w:color="auto"/>
            <w:bottom w:val="none" w:sz="0" w:space="0" w:color="auto"/>
            <w:right w:val="none" w:sz="0" w:space="0" w:color="auto"/>
          </w:divBdr>
        </w:div>
      </w:divsChild>
    </w:div>
    <w:div w:id="287126177">
      <w:bodyDiv w:val="1"/>
      <w:marLeft w:val="0"/>
      <w:marRight w:val="0"/>
      <w:marTop w:val="0"/>
      <w:marBottom w:val="0"/>
      <w:divBdr>
        <w:top w:val="none" w:sz="0" w:space="0" w:color="auto"/>
        <w:left w:val="none" w:sz="0" w:space="0" w:color="auto"/>
        <w:bottom w:val="none" w:sz="0" w:space="0" w:color="auto"/>
        <w:right w:val="none" w:sz="0" w:space="0" w:color="auto"/>
      </w:divBdr>
      <w:divsChild>
        <w:div w:id="456605937">
          <w:marLeft w:val="0"/>
          <w:marRight w:val="0"/>
          <w:marTop w:val="15"/>
          <w:marBottom w:val="0"/>
          <w:divBdr>
            <w:top w:val="single" w:sz="48" w:space="0" w:color="auto"/>
            <w:left w:val="single" w:sz="48" w:space="0" w:color="auto"/>
            <w:bottom w:val="single" w:sz="48" w:space="0" w:color="auto"/>
            <w:right w:val="single" w:sz="48" w:space="0" w:color="auto"/>
          </w:divBdr>
          <w:divsChild>
            <w:div w:id="5622513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
                <w:div w:id="830871295">
                  <w:marLeft w:val="0"/>
                  <w:marRight w:val="0"/>
                  <w:marTop w:val="0"/>
                  <w:marBottom w:val="0"/>
                  <w:divBdr>
                    <w:top w:val="none" w:sz="0" w:space="0" w:color="auto"/>
                    <w:left w:val="none" w:sz="0" w:space="0" w:color="auto"/>
                    <w:bottom w:val="none" w:sz="0" w:space="0" w:color="auto"/>
                    <w:right w:val="none" w:sz="0" w:space="0" w:color="auto"/>
                  </w:divBdr>
                </w:div>
                <w:div w:id="1345549781">
                  <w:marLeft w:val="0"/>
                  <w:marRight w:val="0"/>
                  <w:marTop w:val="0"/>
                  <w:marBottom w:val="0"/>
                  <w:divBdr>
                    <w:top w:val="none" w:sz="0" w:space="0" w:color="auto"/>
                    <w:left w:val="none" w:sz="0" w:space="0" w:color="auto"/>
                    <w:bottom w:val="none" w:sz="0" w:space="0" w:color="auto"/>
                    <w:right w:val="none" w:sz="0" w:space="0" w:color="auto"/>
                  </w:divBdr>
                </w:div>
                <w:div w:id="3893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4520">
      <w:bodyDiv w:val="1"/>
      <w:marLeft w:val="0"/>
      <w:marRight w:val="0"/>
      <w:marTop w:val="0"/>
      <w:marBottom w:val="0"/>
      <w:divBdr>
        <w:top w:val="none" w:sz="0" w:space="0" w:color="auto"/>
        <w:left w:val="none" w:sz="0" w:space="0" w:color="auto"/>
        <w:bottom w:val="none" w:sz="0" w:space="0" w:color="auto"/>
        <w:right w:val="none" w:sz="0" w:space="0" w:color="auto"/>
      </w:divBdr>
      <w:divsChild>
        <w:div w:id="860893400">
          <w:marLeft w:val="0"/>
          <w:marRight w:val="0"/>
          <w:marTop w:val="15"/>
          <w:marBottom w:val="0"/>
          <w:divBdr>
            <w:top w:val="single" w:sz="48" w:space="0" w:color="auto"/>
            <w:left w:val="single" w:sz="48" w:space="0" w:color="auto"/>
            <w:bottom w:val="single" w:sz="48" w:space="0" w:color="auto"/>
            <w:right w:val="single" w:sz="48" w:space="0" w:color="auto"/>
          </w:divBdr>
          <w:divsChild>
            <w:div w:id="508451567">
              <w:marLeft w:val="0"/>
              <w:marRight w:val="0"/>
              <w:marTop w:val="0"/>
              <w:marBottom w:val="0"/>
              <w:divBdr>
                <w:top w:val="none" w:sz="0" w:space="0" w:color="auto"/>
                <w:left w:val="none" w:sz="0" w:space="0" w:color="auto"/>
                <w:bottom w:val="none" w:sz="0" w:space="0" w:color="auto"/>
                <w:right w:val="none" w:sz="0" w:space="0" w:color="auto"/>
              </w:divBdr>
              <w:divsChild>
                <w:div w:id="780955129">
                  <w:marLeft w:val="0"/>
                  <w:marRight w:val="0"/>
                  <w:marTop w:val="0"/>
                  <w:marBottom w:val="0"/>
                  <w:divBdr>
                    <w:top w:val="none" w:sz="0" w:space="0" w:color="auto"/>
                    <w:left w:val="none" w:sz="0" w:space="0" w:color="auto"/>
                    <w:bottom w:val="none" w:sz="0" w:space="0" w:color="auto"/>
                    <w:right w:val="none" w:sz="0" w:space="0" w:color="auto"/>
                  </w:divBdr>
                </w:div>
                <w:div w:id="461505271">
                  <w:marLeft w:val="0"/>
                  <w:marRight w:val="0"/>
                  <w:marTop w:val="0"/>
                  <w:marBottom w:val="0"/>
                  <w:divBdr>
                    <w:top w:val="none" w:sz="0" w:space="0" w:color="auto"/>
                    <w:left w:val="none" w:sz="0" w:space="0" w:color="auto"/>
                    <w:bottom w:val="none" w:sz="0" w:space="0" w:color="auto"/>
                    <w:right w:val="none" w:sz="0" w:space="0" w:color="auto"/>
                  </w:divBdr>
                </w:div>
                <w:div w:id="1243028940">
                  <w:marLeft w:val="0"/>
                  <w:marRight w:val="0"/>
                  <w:marTop w:val="0"/>
                  <w:marBottom w:val="0"/>
                  <w:divBdr>
                    <w:top w:val="none" w:sz="0" w:space="0" w:color="auto"/>
                    <w:left w:val="none" w:sz="0" w:space="0" w:color="auto"/>
                    <w:bottom w:val="none" w:sz="0" w:space="0" w:color="auto"/>
                    <w:right w:val="none" w:sz="0" w:space="0" w:color="auto"/>
                  </w:divBdr>
                </w:div>
                <w:div w:id="985279575">
                  <w:marLeft w:val="0"/>
                  <w:marRight w:val="0"/>
                  <w:marTop w:val="0"/>
                  <w:marBottom w:val="0"/>
                  <w:divBdr>
                    <w:top w:val="none" w:sz="0" w:space="0" w:color="auto"/>
                    <w:left w:val="none" w:sz="0" w:space="0" w:color="auto"/>
                    <w:bottom w:val="none" w:sz="0" w:space="0" w:color="auto"/>
                    <w:right w:val="none" w:sz="0" w:space="0" w:color="auto"/>
                  </w:divBdr>
                </w:div>
                <w:div w:id="546141597">
                  <w:marLeft w:val="0"/>
                  <w:marRight w:val="0"/>
                  <w:marTop w:val="0"/>
                  <w:marBottom w:val="0"/>
                  <w:divBdr>
                    <w:top w:val="none" w:sz="0" w:space="0" w:color="auto"/>
                    <w:left w:val="none" w:sz="0" w:space="0" w:color="auto"/>
                    <w:bottom w:val="none" w:sz="0" w:space="0" w:color="auto"/>
                    <w:right w:val="none" w:sz="0" w:space="0" w:color="auto"/>
                  </w:divBdr>
                </w:div>
                <w:div w:id="797600607">
                  <w:marLeft w:val="0"/>
                  <w:marRight w:val="0"/>
                  <w:marTop w:val="0"/>
                  <w:marBottom w:val="0"/>
                  <w:divBdr>
                    <w:top w:val="none" w:sz="0" w:space="0" w:color="auto"/>
                    <w:left w:val="none" w:sz="0" w:space="0" w:color="auto"/>
                    <w:bottom w:val="none" w:sz="0" w:space="0" w:color="auto"/>
                    <w:right w:val="none" w:sz="0" w:space="0" w:color="auto"/>
                  </w:divBdr>
                </w:div>
                <w:div w:id="1209336269">
                  <w:marLeft w:val="0"/>
                  <w:marRight w:val="0"/>
                  <w:marTop w:val="0"/>
                  <w:marBottom w:val="0"/>
                  <w:divBdr>
                    <w:top w:val="none" w:sz="0" w:space="0" w:color="auto"/>
                    <w:left w:val="none" w:sz="0" w:space="0" w:color="auto"/>
                    <w:bottom w:val="none" w:sz="0" w:space="0" w:color="auto"/>
                    <w:right w:val="none" w:sz="0" w:space="0" w:color="auto"/>
                  </w:divBdr>
                </w:div>
                <w:div w:id="504708203">
                  <w:marLeft w:val="0"/>
                  <w:marRight w:val="0"/>
                  <w:marTop w:val="0"/>
                  <w:marBottom w:val="0"/>
                  <w:divBdr>
                    <w:top w:val="none" w:sz="0" w:space="0" w:color="auto"/>
                    <w:left w:val="none" w:sz="0" w:space="0" w:color="auto"/>
                    <w:bottom w:val="none" w:sz="0" w:space="0" w:color="auto"/>
                    <w:right w:val="none" w:sz="0" w:space="0" w:color="auto"/>
                  </w:divBdr>
                </w:div>
                <w:div w:id="1674213235">
                  <w:marLeft w:val="0"/>
                  <w:marRight w:val="0"/>
                  <w:marTop w:val="0"/>
                  <w:marBottom w:val="0"/>
                  <w:divBdr>
                    <w:top w:val="none" w:sz="0" w:space="0" w:color="auto"/>
                    <w:left w:val="none" w:sz="0" w:space="0" w:color="auto"/>
                    <w:bottom w:val="none" w:sz="0" w:space="0" w:color="auto"/>
                    <w:right w:val="none" w:sz="0" w:space="0" w:color="auto"/>
                  </w:divBdr>
                </w:div>
                <w:div w:id="372389191">
                  <w:marLeft w:val="0"/>
                  <w:marRight w:val="0"/>
                  <w:marTop w:val="0"/>
                  <w:marBottom w:val="0"/>
                  <w:divBdr>
                    <w:top w:val="none" w:sz="0" w:space="0" w:color="auto"/>
                    <w:left w:val="none" w:sz="0" w:space="0" w:color="auto"/>
                    <w:bottom w:val="none" w:sz="0" w:space="0" w:color="auto"/>
                    <w:right w:val="none" w:sz="0" w:space="0" w:color="auto"/>
                  </w:divBdr>
                </w:div>
                <w:div w:id="221185431">
                  <w:marLeft w:val="0"/>
                  <w:marRight w:val="0"/>
                  <w:marTop w:val="0"/>
                  <w:marBottom w:val="0"/>
                  <w:divBdr>
                    <w:top w:val="none" w:sz="0" w:space="0" w:color="auto"/>
                    <w:left w:val="none" w:sz="0" w:space="0" w:color="auto"/>
                    <w:bottom w:val="none" w:sz="0" w:space="0" w:color="auto"/>
                    <w:right w:val="none" w:sz="0" w:space="0" w:color="auto"/>
                  </w:divBdr>
                </w:div>
                <w:div w:id="2031449128">
                  <w:marLeft w:val="0"/>
                  <w:marRight w:val="0"/>
                  <w:marTop w:val="0"/>
                  <w:marBottom w:val="0"/>
                  <w:divBdr>
                    <w:top w:val="none" w:sz="0" w:space="0" w:color="auto"/>
                    <w:left w:val="none" w:sz="0" w:space="0" w:color="auto"/>
                    <w:bottom w:val="none" w:sz="0" w:space="0" w:color="auto"/>
                    <w:right w:val="none" w:sz="0" w:space="0" w:color="auto"/>
                  </w:divBdr>
                </w:div>
                <w:div w:id="15821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404">
          <w:marLeft w:val="0"/>
          <w:marRight w:val="0"/>
          <w:marTop w:val="15"/>
          <w:marBottom w:val="0"/>
          <w:divBdr>
            <w:top w:val="single" w:sz="48" w:space="0" w:color="auto"/>
            <w:left w:val="single" w:sz="48" w:space="0" w:color="auto"/>
            <w:bottom w:val="single" w:sz="48" w:space="0" w:color="auto"/>
            <w:right w:val="single" w:sz="48" w:space="0" w:color="auto"/>
          </w:divBdr>
          <w:divsChild>
            <w:div w:id="2061859077">
              <w:marLeft w:val="0"/>
              <w:marRight w:val="0"/>
              <w:marTop w:val="0"/>
              <w:marBottom w:val="0"/>
              <w:divBdr>
                <w:top w:val="none" w:sz="0" w:space="0" w:color="auto"/>
                <w:left w:val="none" w:sz="0" w:space="0" w:color="auto"/>
                <w:bottom w:val="none" w:sz="0" w:space="0" w:color="auto"/>
                <w:right w:val="none" w:sz="0" w:space="0" w:color="auto"/>
              </w:divBdr>
              <w:divsChild>
                <w:div w:id="15629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3385">
      <w:bodyDiv w:val="1"/>
      <w:marLeft w:val="0"/>
      <w:marRight w:val="0"/>
      <w:marTop w:val="0"/>
      <w:marBottom w:val="0"/>
      <w:divBdr>
        <w:top w:val="none" w:sz="0" w:space="0" w:color="auto"/>
        <w:left w:val="none" w:sz="0" w:space="0" w:color="auto"/>
        <w:bottom w:val="none" w:sz="0" w:space="0" w:color="auto"/>
        <w:right w:val="none" w:sz="0" w:space="0" w:color="auto"/>
      </w:divBdr>
    </w:div>
    <w:div w:id="294481681">
      <w:bodyDiv w:val="1"/>
      <w:marLeft w:val="0"/>
      <w:marRight w:val="0"/>
      <w:marTop w:val="0"/>
      <w:marBottom w:val="0"/>
      <w:divBdr>
        <w:top w:val="none" w:sz="0" w:space="0" w:color="auto"/>
        <w:left w:val="none" w:sz="0" w:space="0" w:color="auto"/>
        <w:bottom w:val="none" w:sz="0" w:space="0" w:color="auto"/>
        <w:right w:val="none" w:sz="0" w:space="0" w:color="auto"/>
      </w:divBdr>
    </w:div>
    <w:div w:id="327752121">
      <w:bodyDiv w:val="1"/>
      <w:marLeft w:val="0"/>
      <w:marRight w:val="0"/>
      <w:marTop w:val="0"/>
      <w:marBottom w:val="0"/>
      <w:divBdr>
        <w:top w:val="none" w:sz="0" w:space="0" w:color="auto"/>
        <w:left w:val="none" w:sz="0" w:space="0" w:color="auto"/>
        <w:bottom w:val="none" w:sz="0" w:space="0" w:color="auto"/>
        <w:right w:val="none" w:sz="0" w:space="0" w:color="auto"/>
      </w:divBdr>
    </w:div>
    <w:div w:id="334504797">
      <w:bodyDiv w:val="1"/>
      <w:marLeft w:val="0"/>
      <w:marRight w:val="0"/>
      <w:marTop w:val="0"/>
      <w:marBottom w:val="0"/>
      <w:divBdr>
        <w:top w:val="none" w:sz="0" w:space="0" w:color="auto"/>
        <w:left w:val="none" w:sz="0" w:space="0" w:color="auto"/>
        <w:bottom w:val="none" w:sz="0" w:space="0" w:color="auto"/>
        <w:right w:val="none" w:sz="0" w:space="0" w:color="auto"/>
      </w:divBdr>
    </w:div>
    <w:div w:id="431168446">
      <w:bodyDiv w:val="1"/>
      <w:marLeft w:val="0"/>
      <w:marRight w:val="0"/>
      <w:marTop w:val="0"/>
      <w:marBottom w:val="0"/>
      <w:divBdr>
        <w:top w:val="none" w:sz="0" w:space="0" w:color="auto"/>
        <w:left w:val="none" w:sz="0" w:space="0" w:color="auto"/>
        <w:bottom w:val="none" w:sz="0" w:space="0" w:color="auto"/>
        <w:right w:val="none" w:sz="0" w:space="0" w:color="auto"/>
      </w:divBdr>
    </w:div>
    <w:div w:id="548224221">
      <w:bodyDiv w:val="1"/>
      <w:marLeft w:val="0"/>
      <w:marRight w:val="0"/>
      <w:marTop w:val="0"/>
      <w:marBottom w:val="0"/>
      <w:divBdr>
        <w:top w:val="none" w:sz="0" w:space="0" w:color="auto"/>
        <w:left w:val="none" w:sz="0" w:space="0" w:color="auto"/>
        <w:bottom w:val="none" w:sz="0" w:space="0" w:color="auto"/>
        <w:right w:val="none" w:sz="0" w:space="0" w:color="auto"/>
      </w:divBdr>
    </w:div>
    <w:div w:id="619579440">
      <w:bodyDiv w:val="1"/>
      <w:marLeft w:val="0"/>
      <w:marRight w:val="0"/>
      <w:marTop w:val="0"/>
      <w:marBottom w:val="0"/>
      <w:divBdr>
        <w:top w:val="none" w:sz="0" w:space="0" w:color="auto"/>
        <w:left w:val="none" w:sz="0" w:space="0" w:color="auto"/>
        <w:bottom w:val="none" w:sz="0" w:space="0" w:color="auto"/>
        <w:right w:val="none" w:sz="0" w:space="0" w:color="auto"/>
      </w:divBdr>
    </w:div>
    <w:div w:id="672992304">
      <w:bodyDiv w:val="1"/>
      <w:marLeft w:val="0"/>
      <w:marRight w:val="0"/>
      <w:marTop w:val="0"/>
      <w:marBottom w:val="0"/>
      <w:divBdr>
        <w:top w:val="none" w:sz="0" w:space="0" w:color="auto"/>
        <w:left w:val="none" w:sz="0" w:space="0" w:color="auto"/>
        <w:bottom w:val="none" w:sz="0" w:space="0" w:color="auto"/>
        <w:right w:val="none" w:sz="0" w:space="0" w:color="auto"/>
      </w:divBdr>
    </w:div>
    <w:div w:id="722675874">
      <w:bodyDiv w:val="1"/>
      <w:marLeft w:val="0"/>
      <w:marRight w:val="0"/>
      <w:marTop w:val="0"/>
      <w:marBottom w:val="0"/>
      <w:divBdr>
        <w:top w:val="none" w:sz="0" w:space="0" w:color="auto"/>
        <w:left w:val="none" w:sz="0" w:space="0" w:color="auto"/>
        <w:bottom w:val="none" w:sz="0" w:space="0" w:color="auto"/>
        <w:right w:val="none" w:sz="0" w:space="0" w:color="auto"/>
      </w:divBdr>
    </w:div>
    <w:div w:id="732387824">
      <w:bodyDiv w:val="1"/>
      <w:marLeft w:val="0"/>
      <w:marRight w:val="0"/>
      <w:marTop w:val="0"/>
      <w:marBottom w:val="0"/>
      <w:divBdr>
        <w:top w:val="none" w:sz="0" w:space="0" w:color="auto"/>
        <w:left w:val="none" w:sz="0" w:space="0" w:color="auto"/>
        <w:bottom w:val="none" w:sz="0" w:space="0" w:color="auto"/>
        <w:right w:val="none" w:sz="0" w:space="0" w:color="auto"/>
      </w:divBdr>
      <w:divsChild>
        <w:div w:id="1691569816">
          <w:marLeft w:val="0"/>
          <w:marRight w:val="0"/>
          <w:marTop w:val="0"/>
          <w:marBottom w:val="0"/>
          <w:divBdr>
            <w:top w:val="none" w:sz="0" w:space="0" w:color="auto"/>
            <w:left w:val="none" w:sz="0" w:space="0" w:color="auto"/>
            <w:bottom w:val="none" w:sz="0" w:space="0" w:color="auto"/>
            <w:right w:val="none" w:sz="0" w:space="0" w:color="auto"/>
          </w:divBdr>
        </w:div>
        <w:div w:id="1262490576">
          <w:marLeft w:val="0"/>
          <w:marRight w:val="0"/>
          <w:marTop w:val="0"/>
          <w:marBottom w:val="0"/>
          <w:divBdr>
            <w:top w:val="none" w:sz="0" w:space="0" w:color="auto"/>
            <w:left w:val="none" w:sz="0" w:space="0" w:color="auto"/>
            <w:bottom w:val="none" w:sz="0" w:space="0" w:color="auto"/>
            <w:right w:val="none" w:sz="0" w:space="0" w:color="auto"/>
          </w:divBdr>
        </w:div>
      </w:divsChild>
    </w:div>
    <w:div w:id="863788105">
      <w:bodyDiv w:val="1"/>
      <w:marLeft w:val="0"/>
      <w:marRight w:val="0"/>
      <w:marTop w:val="0"/>
      <w:marBottom w:val="0"/>
      <w:divBdr>
        <w:top w:val="none" w:sz="0" w:space="0" w:color="auto"/>
        <w:left w:val="none" w:sz="0" w:space="0" w:color="auto"/>
        <w:bottom w:val="none" w:sz="0" w:space="0" w:color="auto"/>
        <w:right w:val="none" w:sz="0" w:space="0" w:color="auto"/>
      </w:divBdr>
    </w:div>
    <w:div w:id="879777798">
      <w:bodyDiv w:val="1"/>
      <w:marLeft w:val="0"/>
      <w:marRight w:val="0"/>
      <w:marTop w:val="0"/>
      <w:marBottom w:val="0"/>
      <w:divBdr>
        <w:top w:val="none" w:sz="0" w:space="0" w:color="auto"/>
        <w:left w:val="none" w:sz="0" w:space="0" w:color="auto"/>
        <w:bottom w:val="none" w:sz="0" w:space="0" w:color="auto"/>
        <w:right w:val="none" w:sz="0" w:space="0" w:color="auto"/>
      </w:divBdr>
      <w:divsChild>
        <w:div w:id="980963135">
          <w:marLeft w:val="0"/>
          <w:marRight w:val="0"/>
          <w:marTop w:val="0"/>
          <w:marBottom w:val="0"/>
          <w:divBdr>
            <w:top w:val="none" w:sz="0" w:space="0" w:color="auto"/>
            <w:left w:val="none" w:sz="0" w:space="0" w:color="auto"/>
            <w:bottom w:val="none" w:sz="0" w:space="0" w:color="auto"/>
            <w:right w:val="none" w:sz="0" w:space="0" w:color="auto"/>
          </w:divBdr>
        </w:div>
      </w:divsChild>
    </w:div>
    <w:div w:id="892888465">
      <w:bodyDiv w:val="1"/>
      <w:marLeft w:val="0"/>
      <w:marRight w:val="0"/>
      <w:marTop w:val="0"/>
      <w:marBottom w:val="0"/>
      <w:divBdr>
        <w:top w:val="none" w:sz="0" w:space="0" w:color="auto"/>
        <w:left w:val="none" w:sz="0" w:space="0" w:color="auto"/>
        <w:bottom w:val="none" w:sz="0" w:space="0" w:color="auto"/>
        <w:right w:val="none" w:sz="0" w:space="0" w:color="auto"/>
      </w:divBdr>
    </w:div>
    <w:div w:id="985818767">
      <w:bodyDiv w:val="1"/>
      <w:marLeft w:val="0"/>
      <w:marRight w:val="0"/>
      <w:marTop w:val="0"/>
      <w:marBottom w:val="0"/>
      <w:divBdr>
        <w:top w:val="none" w:sz="0" w:space="0" w:color="auto"/>
        <w:left w:val="none" w:sz="0" w:space="0" w:color="auto"/>
        <w:bottom w:val="none" w:sz="0" w:space="0" w:color="auto"/>
        <w:right w:val="none" w:sz="0" w:space="0" w:color="auto"/>
      </w:divBdr>
    </w:div>
    <w:div w:id="991368410">
      <w:bodyDiv w:val="1"/>
      <w:marLeft w:val="0"/>
      <w:marRight w:val="0"/>
      <w:marTop w:val="0"/>
      <w:marBottom w:val="0"/>
      <w:divBdr>
        <w:top w:val="none" w:sz="0" w:space="0" w:color="auto"/>
        <w:left w:val="none" w:sz="0" w:space="0" w:color="auto"/>
        <w:bottom w:val="none" w:sz="0" w:space="0" w:color="auto"/>
        <w:right w:val="none" w:sz="0" w:space="0" w:color="auto"/>
      </w:divBdr>
      <w:divsChild>
        <w:div w:id="552927273">
          <w:marLeft w:val="0"/>
          <w:marRight w:val="0"/>
          <w:marTop w:val="0"/>
          <w:marBottom w:val="0"/>
          <w:divBdr>
            <w:top w:val="none" w:sz="0" w:space="0" w:color="auto"/>
            <w:left w:val="none" w:sz="0" w:space="0" w:color="auto"/>
            <w:bottom w:val="none" w:sz="0" w:space="0" w:color="auto"/>
            <w:right w:val="none" w:sz="0" w:space="0" w:color="auto"/>
          </w:divBdr>
        </w:div>
      </w:divsChild>
    </w:div>
    <w:div w:id="1075787701">
      <w:bodyDiv w:val="1"/>
      <w:marLeft w:val="0"/>
      <w:marRight w:val="0"/>
      <w:marTop w:val="0"/>
      <w:marBottom w:val="0"/>
      <w:divBdr>
        <w:top w:val="none" w:sz="0" w:space="0" w:color="auto"/>
        <w:left w:val="none" w:sz="0" w:space="0" w:color="auto"/>
        <w:bottom w:val="none" w:sz="0" w:space="0" w:color="auto"/>
        <w:right w:val="none" w:sz="0" w:space="0" w:color="auto"/>
      </w:divBdr>
    </w:div>
    <w:div w:id="1123575877">
      <w:bodyDiv w:val="1"/>
      <w:marLeft w:val="0"/>
      <w:marRight w:val="0"/>
      <w:marTop w:val="0"/>
      <w:marBottom w:val="0"/>
      <w:divBdr>
        <w:top w:val="none" w:sz="0" w:space="0" w:color="auto"/>
        <w:left w:val="none" w:sz="0" w:space="0" w:color="auto"/>
        <w:bottom w:val="none" w:sz="0" w:space="0" w:color="auto"/>
        <w:right w:val="none" w:sz="0" w:space="0" w:color="auto"/>
      </w:divBdr>
    </w:div>
    <w:div w:id="1212159375">
      <w:bodyDiv w:val="1"/>
      <w:marLeft w:val="0"/>
      <w:marRight w:val="0"/>
      <w:marTop w:val="0"/>
      <w:marBottom w:val="0"/>
      <w:divBdr>
        <w:top w:val="none" w:sz="0" w:space="0" w:color="auto"/>
        <w:left w:val="none" w:sz="0" w:space="0" w:color="auto"/>
        <w:bottom w:val="none" w:sz="0" w:space="0" w:color="auto"/>
        <w:right w:val="none" w:sz="0" w:space="0" w:color="auto"/>
      </w:divBdr>
    </w:div>
    <w:div w:id="1215001602">
      <w:bodyDiv w:val="1"/>
      <w:marLeft w:val="0"/>
      <w:marRight w:val="0"/>
      <w:marTop w:val="0"/>
      <w:marBottom w:val="0"/>
      <w:divBdr>
        <w:top w:val="none" w:sz="0" w:space="0" w:color="auto"/>
        <w:left w:val="none" w:sz="0" w:space="0" w:color="auto"/>
        <w:bottom w:val="none" w:sz="0" w:space="0" w:color="auto"/>
        <w:right w:val="none" w:sz="0" w:space="0" w:color="auto"/>
      </w:divBdr>
      <w:divsChild>
        <w:div w:id="948774529">
          <w:marLeft w:val="0"/>
          <w:marRight w:val="0"/>
          <w:marTop w:val="0"/>
          <w:marBottom w:val="0"/>
          <w:divBdr>
            <w:top w:val="none" w:sz="0" w:space="0" w:color="auto"/>
            <w:left w:val="none" w:sz="0" w:space="0" w:color="auto"/>
            <w:bottom w:val="none" w:sz="0" w:space="0" w:color="auto"/>
            <w:right w:val="none" w:sz="0" w:space="0" w:color="auto"/>
          </w:divBdr>
        </w:div>
      </w:divsChild>
    </w:div>
    <w:div w:id="1245184434">
      <w:bodyDiv w:val="1"/>
      <w:marLeft w:val="0"/>
      <w:marRight w:val="0"/>
      <w:marTop w:val="0"/>
      <w:marBottom w:val="0"/>
      <w:divBdr>
        <w:top w:val="none" w:sz="0" w:space="0" w:color="auto"/>
        <w:left w:val="none" w:sz="0" w:space="0" w:color="auto"/>
        <w:bottom w:val="none" w:sz="0" w:space="0" w:color="auto"/>
        <w:right w:val="none" w:sz="0" w:space="0" w:color="auto"/>
      </w:divBdr>
      <w:divsChild>
        <w:div w:id="168956387">
          <w:marLeft w:val="0"/>
          <w:marRight w:val="0"/>
          <w:marTop w:val="0"/>
          <w:marBottom w:val="0"/>
          <w:divBdr>
            <w:top w:val="none" w:sz="0" w:space="0" w:color="auto"/>
            <w:left w:val="none" w:sz="0" w:space="0" w:color="auto"/>
            <w:bottom w:val="none" w:sz="0" w:space="0" w:color="auto"/>
            <w:right w:val="none" w:sz="0" w:space="0" w:color="auto"/>
          </w:divBdr>
        </w:div>
        <w:div w:id="1346707957">
          <w:marLeft w:val="0"/>
          <w:marRight w:val="0"/>
          <w:marTop w:val="0"/>
          <w:marBottom w:val="0"/>
          <w:divBdr>
            <w:top w:val="none" w:sz="0" w:space="0" w:color="auto"/>
            <w:left w:val="none" w:sz="0" w:space="0" w:color="auto"/>
            <w:bottom w:val="none" w:sz="0" w:space="0" w:color="auto"/>
            <w:right w:val="none" w:sz="0" w:space="0" w:color="auto"/>
          </w:divBdr>
        </w:div>
        <w:div w:id="1486431710">
          <w:marLeft w:val="0"/>
          <w:marRight w:val="0"/>
          <w:marTop w:val="0"/>
          <w:marBottom w:val="0"/>
          <w:divBdr>
            <w:top w:val="none" w:sz="0" w:space="0" w:color="auto"/>
            <w:left w:val="none" w:sz="0" w:space="0" w:color="auto"/>
            <w:bottom w:val="none" w:sz="0" w:space="0" w:color="auto"/>
            <w:right w:val="none" w:sz="0" w:space="0" w:color="auto"/>
          </w:divBdr>
        </w:div>
      </w:divsChild>
    </w:div>
    <w:div w:id="1247960879">
      <w:bodyDiv w:val="1"/>
      <w:marLeft w:val="0"/>
      <w:marRight w:val="0"/>
      <w:marTop w:val="0"/>
      <w:marBottom w:val="0"/>
      <w:divBdr>
        <w:top w:val="none" w:sz="0" w:space="0" w:color="auto"/>
        <w:left w:val="none" w:sz="0" w:space="0" w:color="auto"/>
        <w:bottom w:val="none" w:sz="0" w:space="0" w:color="auto"/>
        <w:right w:val="none" w:sz="0" w:space="0" w:color="auto"/>
      </w:divBdr>
    </w:div>
    <w:div w:id="1255168698">
      <w:bodyDiv w:val="1"/>
      <w:marLeft w:val="0"/>
      <w:marRight w:val="0"/>
      <w:marTop w:val="0"/>
      <w:marBottom w:val="0"/>
      <w:divBdr>
        <w:top w:val="none" w:sz="0" w:space="0" w:color="auto"/>
        <w:left w:val="none" w:sz="0" w:space="0" w:color="auto"/>
        <w:bottom w:val="none" w:sz="0" w:space="0" w:color="auto"/>
        <w:right w:val="none" w:sz="0" w:space="0" w:color="auto"/>
      </w:divBdr>
    </w:div>
    <w:div w:id="1284270228">
      <w:bodyDiv w:val="1"/>
      <w:marLeft w:val="0"/>
      <w:marRight w:val="0"/>
      <w:marTop w:val="0"/>
      <w:marBottom w:val="0"/>
      <w:divBdr>
        <w:top w:val="none" w:sz="0" w:space="0" w:color="auto"/>
        <w:left w:val="none" w:sz="0" w:space="0" w:color="auto"/>
        <w:bottom w:val="none" w:sz="0" w:space="0" w:color="auto"/>
        <w:right w:val="none" w:sz="0" w:space="0" w:color="auto"/>
      </w:divBdr>
    </w:div>
    <w:div w:id="1392652068">
      <w:bodyDiv w:val="1"/>
      <w:marLeft w:val="0"/>
      <w:marRight w:val="0"/>
      <w:marTop w:val="0"/>
      <w:marBottom w:val="0"/>
      <w:divBdr>
        <w:top w:val="none" w:sz="0" w:space="0" w:color="auto"/>
        <w:left w:val="none" w:sz="0" w:space="0" w:color="auto"/>
        <w:bottom w:val="none" w:sz="0" w:space="0" w:color="auto"/>
        <w:right w:val="none" w:sz="0" w:space="0" w:color="auto"/>
      </w:divBdr>
    </w:div>
    <w:div w:id="1484076872">
      <w:bodyDiv w:val="1"/>
      <w:marLeft w:val="0"/>
      <w:marRight w:val="0"/>
      <w:marTop w:val="0"/>
      <w:marBottom w:val="0"/>
      <w:divBdr>
        <w:top w:val="none" w:sz="0" w:space="0" w:color="auto"/>
        <w:left w:val="none" w:sz="0" w:space="0" w:color="auto"/>
        <w:bottom w:val="none" w:sz="0" w:space="0" w:color="auto"/>
        <w:right w:val="none" w:sz="0" w:space="0" w:color="auto"/>
      </w:divBdr>
    </w:div>
    <w:div w:id="1499809849">
      <w:bodyDiv w:val="1"/>
      <w:marLeft w:val="0"/>
      <w:marRight w:val="0"/>
      <w:marTop w:val="0"/>
      <w:marBottom w:val="0"/>
      <w:divBdr>
        <w:top w:val="none" w:sz="0" w:space="0" w:color="auto"/>
        <w:left w:val="none" w:sz="0" w:space="0" w:color="auto"/>
        <w:bottom w:val="none" w:sz="0" w:space="0" w:color="auto"/>
        <w:right w:val="none" w:sz="0" w:space="0" w:color="auto"/>
      </w:divBdr>
    </w:div>
    <w:div w:id="1533810355">
      <w:bodyDiv w:val="1"/>
      <w:marLeft w:val="0"/>
      <w:marRight w:val="0"/>
      <w:marTop w:val="0"/>
      <w:marBottom w:val="0"/>
      <w:divBdr>
        <w:top w:val="none" w:sz="0" w:space="0" w:color="auto"/>
        <w:left w:val="none" w:sz="0" w:space="0" w:color="auto"/>
        <w:bottom w:val="none" w:sz="0" w:space="0" w:color="auto"/>
        <w:right w:val="none" w:sz="0" w:space="0" w:color="auto"/>
      </w:divBdr>
    </w:div>
    <w:div w:id="1535535433">
      <w:bodyDiv w:val="1"/>
      <w:marLeft w:val="0"/>
      <w:marRight w:val="0"/>
      <w:marTop w:val="0"/>
      <w:marBottom w:val="0"/>
      <w:divBdr>
        <w:top w:val="none" w:sz="0" w:space="0" w:color="auto"/>
        <w:left w:val="none" w:sz="0" w:space="0" w:color="auto"/>
        <w:bottom w:val="none" w:sz="0" w:space="0" w:color="auto"/>
        <w:right w:val="none" w:sz="0" w:space="0" w:color="auto"/>
      </w:divBdr>
    </w:div>
    <w:div w:id="1583878996">
      <w:bodyDiv w:val="1"/>
      <w:marLeft w:val="0"/>
      <w:marRight w:val="0"/>
      <w:marTop w:val="0"/>
      <w:marBottom w:val="0"/>
      <w:divBdr>
        <w:top w:val="none" w:sz="0" w:space="0" w:color="auto"/>
        <w:left w:val="none" w:sz="0" w:space="0" w:color="auto"/>
        <w:bottom w:val="none" w:sz="0" w:space="0" w:color="auto"/>
        <w:right w:val="none" w:sz="0" w:space="0" w:color="auto"/>
      </w:divBdr>
      <w:divsChild>
        <w:div w:id="750782616">
          <w:marLeft w:val="0"/>
          <w:marRight w:val="0"/>
          <w:marTop w:val="15"/>
          <w:marBottom w:val="0"/>
          <w:divBdr>
            <w:top w:val="single" w:sz="48" w:space="0" w:color="auto"/>
            <w:left w:val="single" w:sz="48" w:space="0" w:color="auto"/>
            <w:bottom w:val="single" w:sz="48" w:space="0" w:color="auto"/>
            <w:right w:val="single" w:sz="48" w:space="0" w:color="auto"/>
          </w:divBdr>
          <w:divsChild>
            <w:div w:id="390736246">
              <w:marLeft w:val="0"/>
              <w:marRight w:val="0"/>
              <w:marTop w:val="0"/>
              <w:marBottom w:val="0"/>
              <w:divBdr>
                <w:top w:val="none" w:sz="0" w:space="0" w:color="auto"/>
                <w:left w:val="none" w:sz="0" w:space="0" w:color="auto"/>
                <w:bottom w:val="none" w:sz="0" w:space="0" w:color="auto"/>
                <w:right w:val="none" w:sz="0" w:space="0" w:color="auto"/>
              </w:divBdr>
              <w:divsChild>
                <w:div w:id="741289860">
                  <w:marLeft w:val="0"/>
                  <w:marRight w:val="0"/>
                  <w:marTop w:val="0"/>
                  <w:marBottom w:val="0"/>
                  <w:divBdr>
                    <w:top w:val="none" w:sz="0" w:space="0" w:color="auto"/>
                    <w:left w:val="none" w:sz="0" w:space="0" w:color="auto"/>
                    <w:bottom w:val="none" w:sz="0" w:space="0" w:color="auto"/>
                    <w:right w:val="none" w:sz="0" w:space="0" w:color="auto"/>
                  </w:divBdr>
                </w:div>
                <w:div w:id="2090227074">
                  <w:marLeft w:val="0"/>
                  <w:marRight w:val="0"/>
                  <w:marTop w:val="0"/>
                  <w:marBottom w:val="0"/>
                  <w:divBdr>
                    <w:top w:val="none" w:sz="0" w:space="0" w:color="auto"/>
                    <w:left w:val="none" w:sz="0" w:space="0" w:color="auto"/>
                    <w:bottom w:val="none" w:sz="0" w:space="0" w:color="auto"/>
                    <w:right w:val="none" w:sz="0" w:space="0" w:color="auto"/>
                  </w:divBdr>
                </w:div>
                <w:div w:id="77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5583">
      <w:bodyDiv w:val="1"/>
      <w:marLeft w:val="0"/>
      <w:marRight w:val="0"/>
      <w:marTop w:val="0"/>
      <w:marBottom w:val="0"/>
      <w:divBdr>
        <w:top w:val="none" w:sz="0" w:space="0" w:color="auto"/>
        <w:left w:val="none" w:sz="0" w:space="0" w:color="auto"/>
        <w:bottom w:val="none" w:sz="0" w:space="0" w:color="auto"/>
        <w:right w:val="none" w:sz="0" w:space="0" w:color="auto"/>
      </w:divBdr>
    </w:div>
    <w:div w:id="1595089250">
      <w:bodyDiv w:val="1"/>
      <w:marLeft w:val="0"/>
      <w:marRight w:val="0"/>
      <w:marTop w:val="0"/>
      <w:marBottom w:val="0"/>
      <w:divBdr>
        <w:top w:val="none" w:sz="0" w:space="0" w:color="auto"/>
        <w:left w:val="none" w:sz="0" w:space="0" w:color="auto"/>
        <w:bottom w:val="none" w:sz="0" w:space="0" w:color="auto"/>
        <w:right w:val="none" w:sz="0" w:space="0" w:color="auto"/>
      </w:divBdr>
    </w:div>
    <w:div w:id="1692145399">
      <w:bodyDiv w:val="1"/>
      <w:marLeft w:val="0"/>
      <w:marRight w:val="0"/>
      <w:marTop w:val="0"/>
      <w:marBottom w:val="0"/>
      <w:divBdr>
        <w:top w:val="none" w:sz="0" w:space="0" w:color="auto"/>
        <w:left w:val="none" w:sz="0" w:space="0" w:color="auto"/>
        <w:bottom w:val="none" w:sz="0" w:space="0" w:color="auto"/>
        <w:right w:val="none" w:sz="0" w:space="0" w:color="auto"/>
      </w:divBdr>
    </w:div>
    <w:div w:id="1756827055">
      <w:bodyDiv w:val="1"/>
      <w:marLeft w:val="0"/>
      <w:marRight w:val="0"/>
      <w:marTop w:val="0"/>
      <w:marBottom w:val="0"/>
      <w:divBdr>
        <w:top w:val="none" w:sz="0" w:space="0" w:color="auto"/>
        <w:left w:val="none" w:sz="0" w:space="0" w:color="auto"/>
        <w:bottom w:val="none" w:sz="0" w:space="0" w:color="auto"/>
        <w:right w:val="none" w:sz="0" w:space="0" w:color="auto"/>
      </w:divBdr>
    </w:div>
    <w:div w:id="1768768468">
      <w:bodyDiv w:val="1"/>
      <w:marLeft w:val="0"/>
      <w:marRight w:val="0"/>
      <w:marTop w:val="0"/>
      <w:marBottom w:val="0"/>
      <w:divBdr>
        <w:top w:val="none" w:sz="0" w:space="0" w:color="auto"/>
        <w:left w:val="none" w:sz="0" w:space="0" w:color="auto"/>
        <w:bottom w:val="none" w:sz="0" w:space="0" w:color="auto"/>
        <w:right w:val="none" w:sz="0" w:space="0" w:color="auto"/>
      </w:divBdr>
    </w:div>
    <w:div w:id="1811438942">
      <w:bodyDiv w:val="1"/>
      <w:marLeft w:val="0"/>
      <w:marRight w:val="0"/>
      <w:marTop w:val="0"/>
      <w:marBottom w:val="0"/>
      <w:divBdr>
        <w:top w:val="none" w:sz="0" w:space="0" w:color="auto"/>
        <w:left w:val="none" w:sz="0" w:space="0" w:color="auto"/>
        <w:bottom w:val="none" w:sz="0" w:space="0" w:color="auto"/>
        <w:right w:val="none" w:sz="0" w:space="0" w:color="auto"/>
      </w:divBdr>
    </w:div>
    <w:div w:id="1837649921">
      <w:bodyDiv w:val="1"/>
      <w:marLeft w:val="0"/>
      <w:marRight w:val="0"/>
      <w:marTop w:val="0"/>
      <w:marBottom w:val="0"/>
      <w:divBdr>
        <w:top w:val="none" w:sz="0" w:space="0" w:color="auto"/>
        <w:left w:val="none" w:sz="0" w:space="0" w:color="auto"/>
        <w:bottom w:val="none" w:sz="0" w:space="0" w:color="auto"/>
        <w:right w:val="none" w:sz="0" w:space="0" w:color="auto"/>
      </w:divBdr>
      <w:divsChild>
        <w:div w:id="1109273490">
          <w:marLeft w:val="0"/>
          <w:marRight w:val="0"/>
          <w:marTop w:val="0"/>
          <w:marBottom w:val="0"/>
          <w:divBdr>
            <w:top w:val="none" w:sz="0" w:space="0" w:color="auto"/>
            <w:left w:val="none" w:sz="0" w:space="0" w:color="auto"/>
            <w:bottom w:val="none" w:sz="0" w:space="0" w:color="auto"/>
            <w:right w:val="none" w:sz="0" w:space="0" w:color="auto"/>
          </w:divBdr>
        </w:div>
        <w:div w:id="523128734">
          <w:marLeft w:val="0"/>
          <w:marRight w:val="0"/>
          <w:marTop w:val="0"/>
          <w:marBottom w:val="0"/>
          <w:divBdr>
            <w:top w:val="none" w:sz="0" w:space="0" w:color="auto"/>
            <w:left w:val="none" w:sz="0" w:space="0" w:color="auto"/>
            <w:bottom w:val="none" w:sz="0" w:space="0" w:color="auto"/>
            <w:right w:val="none" w:sz="0" w:space="0" w:color="auto"/>
          </w:divBdr>
        </w:div>
        <w:div w:id="272707437">
          <w:marLeft w:val="0"/>
          <w:marRight w:val="0"/>
          <w:marTop w:val="0"/>
          <w:marBottom w:val="0"/>
          <w:divBdr>
            <w:top w:val="none" w:sz="0" w:space="0" w:color="auto"/>
            <w:left w:val="none" w:sz="0" w:space="0" w:color="auto"/>
            <w:bottom w:val="none" w:sz="0" w:space="0" w:color="auto"/>
            <w:right w:val="none" w:sz="0" w:space="0" w:color="auto"/>
          </w:divBdr>
        </w:div>
        <w:div w:id="82187358">
          <w:marLeft w:val="0"/>
          <w:marRight w:val="0"/>
          <w:marTop w:val="0"/>
          <w:marBottom w:val="0"/>
          <w:divBdr>
            <w:top w:val="none" w:sz="0" w:space="0" w:color="auto"/>
            <w:left w:val="none" w:sz="0" w:space="0" w:color="auto"/>
            <w:bottom w:val="none" w:sz="0" w:space="0" w:color="auto"/>
            <w:right w:val="none" w:sz="0" w:space="0" w:color="auto"/>
          </w:divBdr>
        </w:div>
      </w:divsChild>
    </w:div>
    <w:div w:id="1905872577">
      <w:bodyDiv w:val="1"/>
      <w:marLeft w:val="0"/>
      <w:marRight w:val="0"/>
      <w:marTop w:val="0"/>
      <w:marBottom w:val="0"/>
      <w:divBdr>
        <w:top w:val="none" w:sz="0" w:space="0" w:color="auto"/>
        <w:left w:val="none" w:sz="0" w:space="0" w:color="auto"/>
        <w:bottom w:val="none" w:sz="0" w:space="0" w:color="auto"/>
        <w:right w:val="none" w:sz="0" w:space="0" w:color="auto"/>
      </w:divBdr>
    </w:div>
    <w:div w:id="1941061687">
      <w:bodyDiv w:val="1"/>
      <w:marLeft w:val="0"/>
      <w:marRight w:val="0"/>
      <w:marTop w:val="0"/>
      <w:marBottom w:val="0"/>
      <w:divBdr>
        <w:top w:val="none" w:sz="0" w:space="0" w:color="auto"/>
        <w:left w:val="none" w:sz="0" w:space="0" w:color="auto"/>
        <w:bottom w:val="none" w:sz="0" w:space="0" w:color="auto"/>
        <w:right w:val="none" w:sz="0" w:space="0" w:color="auto"/>
      </w:divBdr>
    </w:div>
    <w:div w:id="1951665704">
      <w:bodyDiv w:val="1"/>
      <w:marLeft w:val="0"/>
      <w:marRight w:val="0"/>
      <w:marTop w:val="0"/>
      <w:marBottom w:val="0"/>
      <w:divBdr>
        <w:top w:val="none" w:sz="0" w:space="0" w:color="auto"/>
        <w:left w:val="none" w:sz="0" w:space="0" w:color="auto"/>
        <w:bottom w:val="none" w:sz="0" w:space="0" w:color="auto"/>
        <w:right w:val="none" w:sz="0" w:space="0" w:color="auto"/>
      </w:divBdr>
    </w:div>
    <w:div w:id="1981616413">
      <w:bodyDiv w:val="1"/>
      <w:marLeft w:val="0"/>
      <w:marRight w:val="0"/>
      <w:marTop w:val="0"/>
      <w:marBottom w:val="0"/>
      <w:divBdr>
        <w:top w:val="none" w:sz="0" w:space="0" w:color="auto"/>
        <w:left w:val="none" w:sz="0" w:space="0" w:color="auto"/>
        <w:bottom w:val="none" w:sz="0" w:space="0" w:color="auto"/>
        <w:right w:val="none" w:sz="0" w:space="0" w:color="auto"/>
      </w:divBdr>
    </w:div>
    <w:div w:id="2013415634">
      <w:bodyDiv w:val="1"/>
      <w:marLeft w:val="0"/>
      <w:marRight w:val="0"/>
      <w:marTop w:val="0"/>
      <w:marBottom w:val="0"/>
      <w:divBdr>
        <w:top w:val="none" w:sz="0" w:space="0" w:color="auto"/>
        <w:left w:val="none" w:sz="0" w:space="0" w:color="auto"/>
        <w:bottom w:val="none" w:sz="0" w:space="0" w:color="auto"/>
        <w:right w:val="none" w:sz="0" w:space="0" w:color="auto"/>
      </w:divBdr>
    </w:div>
    <w:div w:id="2048218212">
      <w:bodyDiv w:val="1"/>
      <w:marLeft w:val="0"/>
      <w:marRight w:val="0"/>
      <w:marTop w:val="0"/>
      <w:marBottom w:val="0"/>
      <w:divBdr>
        <w:top w:val="none" w:sz="0" w:space="0" w:color="auto"/>
        <w:left w:val="none" w:sz="0" w:space="0" w:color="auto"/>
        <w:bottom w:val="none" w:sz="0" w:space="0" w:color="auto"/>
        <w:right w:val="none" w:sz="0" w:space="0" w:color="auto"/>
      </w:divBdr>
      <w:divsChild>
        <w:div w:id="1097093831">
          <w:marLeft w:val="0"/>
          <w:marRight w:val="0"/>
          <w:marTop w:val="0"/>
          <w:marBottom w:val="0"/>
          <w:divBdr>
            <w:top w:val="none" w:sz="0" w:space="0" w:color="auto"/>
            <w:left w:val="none" w:sz="0" w:space="0" w:color="auto"/>
            <w:bottom w:val="none" w:sz="0" w:space="0" w:color="auto"/>
            <w:right w:val="none" w:sz="0" w:space="0" w:color="auto"/>
          </w:divBdr>
        </w:div>
        <w:div w:id="1311209928">
          <w:marLeft w:val="0"/>
          <w:marRight w:val="0"/>
          <w:marTop w:val="0"/>
          <w:marBottom w:val="0"/>
          <w:divBdr>
            <w:top w:val="none" w:sz="0" w:space="0" w:color="auto"/>
            <w:left w:val="none" w:sz="0" w:space="0" w:color="auto"/>
            <w:bottom w:val="none" w:sz="0" w:space="0" w:color="auto"/>
            <w:right w:val="none" w:sz="0" w:space="0" w:color="auto"/>
          </w:divBdr>
        </w:div>
        <w:div w:id="687486257">
          <w:marLeft w:val="0"/>
          <w:marRight w:val="0"/>
          <w:marTop w:val="0"/>
          <w:marBottom w:val="0"/>
          <w:divBdr>
            <w:top w:val="none" w:sz="0" w:space="0" w:color="auto"/>
            <w:left w:val="none" w:sz="0" w:space="0" w:color="auto"/>
            <w:bottom w:val="none" w:sz="0" w:space="0" w:color="auto"/>
            <w:right w:val="none" w:sz="0" w:space="0" w:color="auto"/>
          </w:divBdr>
        </w:div>
        <w:div w:id="989990302">
          <w:marLeft w:val="0"/>
          <w:marRight w:val="0"/>
          <w:marTop w:val="0"/>
          <w:marBottom w:val="0"/>
          <w:divBdr>
            <w:top w:val="none" w:sz="0" w:space="0" w:color="auto"/>
            <w:left w:val="none" w:sz="0" w:space="0" w:color="auto"/>
            <w:bottom w:val="none" w:sz="0" w:space="0" w:color="auto"/>
            <w:right w:val="none" w:sz="0" w:space="0" w:color="auto"/>
          </w:divBdr>
        </w:div>
        <w:div w:id="1848136202">
          <w:marLeft w:val="0"/>
          <w:marRight w:val="0"/>
          <w:marTop w:val="0"/>
          <w:marBottom w:val="0"/>
          <w:divBdr>
            <w:top w:val="none" w:sz="0" w:space="0" w:color="auto"/>
            <w:left w:val="none" w:sz="0" w:space="0" w:color="auto"/>
            <w:bottom w:val="none" w:sz="0" w:space="0" w:color="auto"/>
            <w:right w:val="none" w:sz="0" w:space="0" w:color="auto"/>
          </w:divBdr>
        </w:div>
        <w:div w:id="1971477074">
          <w:marLeft w:val="0"/>
          <w:marRight w:val="0"/>
          <w:marTop w:val="0"/>
          <w:marBottom w:val="0"/>
          <w:divBdr>
            <w:top w:val="none" w:sz="0" w:space="0" w:color="auto"/>
            <w:left w:val="none" w:sz="0" w:space="0" w:color="auto"/>
            <w:bottom w:val="none" w:sz="0" w:space="0" w:color="auto"/>
            <w:right w:val="none" w:sz="0" w:space="0" w:color="auto"/>
          </w:divBdr>
        </w:div>
        <w:div w:id="695082573">
          <w:marLeft w:val="0"/>
          <w:marRight w:val="0"/>
          <w:marTop w:val="0"/>
          <w:marBottom w:val="0"/>
          <w:divBdr>
            <w:top w:val="none" w:sz="0" w:space="0" w:color="auto"/>
            <w:left w:val="none" w:sz="0" w:space="0" w:color="auto"/>
            <w:bottom w:val="none" w:sz="0" w:space="0" w:color="auto"/>
            <w:right w:val="none" w:sz="0" w:space="0" w:color="auto"/>
          </w:divBdr>
        </w:div>
      </w:divsChild>
    </w:div>
    <w:div w:id="209651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pa.ie/news-releases/news-releases-2024/ireland-is-projected-to-exceed-its-national-and-eu-climate-targets.php" TargetMode="External"/><Relationship Id="rId7" Type="http://schemas.openxmlformats.org/officeDocument/2006/relationships/hyperlink" Target="https://chambers.ie/press-releases/planning-bill-marks-vital-step-towards-reform/" TargetMode="External"/><Relationship Id="rId2" Type="http://schemas.openxmlformats.org/officeDocument/2006/relationships/hyperlink" Target="https://www.cso.ie/en/releasesandpublications/ep/p-eii/environmentalindicatorsireland2024/greenhousegasesandclimatechange/" TargetMode="External"/><Relationship Id="rId1" Type="http://schemas.openxmlformats.org/officeDocument/2006/relationships/hyperlink" Target="https://chambers.ie/sustainable-development-goals/" TargetMode="External"/><Relationship Id="rId6" Type="http://schemas.openxmlformats.org/officeDocument/2006/relationships/hyperlink" Target="https://energy.ec.europa.eu/topics/eus-energy-system/hydrogen/key-actions-eu-hydrogen-strategy_en" TargetMode="External"/><Relationship Id="rId5" Type="http://schemas.openxmlformats.org/officeDocument/2006/relationships/hyperlink" Target="https://assets.gov.ie/263248/f982c10f-eca6-4092-a305-90000e5213ed.pdf" TargetMode="External"/><Relationship Id="rId4" Type="http://schemas.openxmlformats.org/officeDocument/2006/relationships/hyperlink" Target="https://www.gov.ie/en/publication/79659-climate-action-plan-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1a9608-cc37-4e7a-b773-a64e323ffb85">
      <Terms xmlns="http://schemas.microsoft.com/office/infopath/2007/PartnerControls"/>
    </lcf76f155ced4ddcb4097134ff3c332f>
    <TaxCatchAll xmlns="c23f6fe5-9bec-49eb-8089-def4f4545c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4A565A1F45E743A2D0150411A18DF3" ma:contentTypeVersion="20" ma:contentTypeDescription="Create a new document." ma:contentTypeScope="" ma:versionID="fe4b93d4e8ac07585e332faf8124c500">
  <xsd:schema xmlns:xsd="http://www.w3.org/2001/XMLSchema" xmlns:xs="http://www.w3.org/2001/XMLSchema" xmlns:p="http://schemas.microsoft.com/office/2006/metadata/properties" xmlns:ns2="e71a9608-cc37-4e7a-b773-a64e323ffb85" xmlns:ns3="c23f6fe5-9bec-49eb-8089-def4f4545cf4" targetNamespace="http://schemas.microsoft.com/office/2006/metadata/properties" ma:root="true" ma:fieldsID="560505b976034b21879e7c153c2a0901" ns2:_="" ns3:_="">
    <xsd:import namespace="e71a9608-cc37-4e7a-b773-a64e323ffb85"/>
    <xsd:import namespace="c23f6fe5-9bec-49eb-8089-def4f4545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9608-cc37-4e7a-b773-a64e323ff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aea969-573b-4134-8e08-833a37d64b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f6fe5-9bec-49eb-8089-def4f4545cf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b17636-86f8-4ab3-80e1-3bd3f00cc6af}" ma:internalName="TaxCatchAll" ma:showField="CatchAllData" ma:web="c23f6fe5-9bec-49eb-8089-def4f4545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62253-A308-4366-BE2B-AE38E43E2BF9}">
  <ds:schemaRefs>
    <ds:schemaRef ds:uri="http://schemas.microsoft.com/office/2006/metadata/properties"/>
    <ds:schemaRef ds:uri="http://schemas.microsoft.com/office/infopath/2007/PartnerControls"/>
    <ds:schemaRef ds:uri="e71a9608-cc37-4e7a-b773-a64e323ffb85"/>
    <ds:schemaRef ds:uri="c23f6fe5-9bec-49eb-8089-def4f4545cf4"/>
  </ds:schemaRefs>
</ds:datastoreItem>
</file>

<file path=customXml/itemProps2.xml><?xml version="1.0" encoding="utf-8"?>
<ds:datastoreItem xmlns:ds="http://schemas.openxmlformats.org/officeDocument/2006/customXml" ds:itemID="{90700655-A393-4A29-AB28-79441438FEF6}">
  <ds:schemaRefs>
    <ds:schemaRef ds:uri="http://schemas.openxmlformats.org/officeDocument/2006/bibliography"/>
  </ds:schemaRefs>
</ds:datastoreItem>
</file>

<file path=customXml/itemProps3.xml><?xml version="1.0" encoding="utf-8"?>
<ds:datastoreItem xmlns:ds="http://schemas.openxmlformats.org/officeDocument/2006/customXml" ds:itemID="{53C21B55-164A-4BE0-8943-68A89FF47E49}">
  <ds:schemaRefs>
    <ds:schemaRef ds:uri="http://schemas.microsoft.com/sharepoint/v3/contenttype/forms"/>
  </ds:schemaRefs>
</ds:datastoreItem>
</file>

<file path=customXml/itemProps4.xml><?xml version="1.0" encoding="utf-8"?>
<ds:datastoreItem xmlns:ds="http://schemas.openxmlformats.org/officeDocument/2006/customXml" ds:itemID="{3E69B67A-9ED2-408B-A162-98F2FD31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9608-cc37-4e7a-b773-a64e323ffb85"/>
    <ds:schemaRef ds:uri="c23f6fe5-9bec-49eb-8089-def4f4545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Reilly</dc:creator>
  <cp:keywords/>
  <dc:description/>
  <cp:lastModifiedBy>Ronan Ward</cp:lastModifiedBy>
  <cp:revision>3</cp:revision>
  <cp:lastPrinted>2024-11-15T12:58:00Z</cp:lastPrinted>
  <dcterms:created xsi:type="dcterms:W3CDTF">2025-04-15T15:15:00Z</dcterms:created>
  <dcterms:modified xsi:type="dcterms:W3CDTF">2025-04-15T15:16:00Z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8969ea4ba383ebcda2478dbfdb9a494ee6b461d72cd0f947407d78dfc8992813</vt:lpwstr>
  </property>
  <property fmtid="{D5CDD505-2E9C-101B-9397-08002B2CF9AE}" pid="4" name="ContentTypeId">
    <vt:lpwstr>0x010100A84A565A1F45E743A2D0150411A18DF3</vt:lpwstr>
  </property>
</Properties>
</file>